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A9749" w14:textId="1677E4E9" w:rsidR="009B7453" w:rsidRPr="005F32DE" w:rsidRDefault="009B7453" w:rsidP="004C2C41">
      <w:pPr>
        <w:tabs>
          <w:tab w:val="right" w:pos="9923"/>
        </w:tabs>
        <w:autoSpaceDE w:val="0"/>
        <w:autoSpaceDN w:val="0"/>
        <w:adjustRightInd w:val="0"/>
        <w:spacing w:line="276" w:lineRule="auto"/>
        <w:rPr>
          <w:szCs w:val="20"/>
          <w:lang w:val="et-EE"/>
        </w:rPr>
      </w:pPr>
      <w:r w:rsidRPr="005F32DE">
        <w:rPr>
          <w:b/>
          <w:bCs/>
          <w:szCs w:val="20"/>
          <w:lang w:val="et-EE"/>
        </w:rPr>
        <w:t>Riigikohus</w:t>
      </w:r>
      <w:r w:rsidRPr="005F32DE">
        <w:rPr>
          <w:szCs w:val="20"/>
          <w:lang w:val="et-EE"/>
        </w:rPr>
        <w:tab/>
      </w:r>
      <w:r w:rsidR="004C2C41" w:rsidRPr="005F32DE">
        <w:rPr>
          <w:szCs w:val="20"/>
          <w:lang w:val="et-EE"/>
        </w:rPr>
        <w:t xml:space="preserve">        20.07.2015</w:t>
      </w:r>
    </w:p>
    <w:p w14:paraId="2AEC83D7" w14:textId="77777777" w:rsidR="00217781" w:rsidRPr="005F32DE" w:rsidRDefault="00217781" w:rsidP="004C2C41">
      <w:pPr>
        <w:spacing w:line="276" w:lineRule="auto"/>
        <w:rPr>
          <w:b/>
          <w:szCs w:val="20"/>
          <w:lang w:val="et-EE"/>
        </w:rPr>
      </w:pPr>
    </w:p>
    <w:p w14:paraId="51E269CA" w14:textId="772E4920" w:rsidR="009B7453" w:rsidRPr="005F32DE" w:rsidRDefault="009B7453" w:rsidP="004C2C41">
      <w:pPr>
        <w:spacing w:line="276" w:lineRule="auto"/>
        <w:rPr>
          <w:bCs/>
          <w:szCs w:val="20"/>
          <w:lang w:val="et-EE"/>
        </w:rPr>
      </w:pPr>
      <w:r w:rsidRPr="005F32DE">
        <w:rPr>
          <w:bCs/>
          <w:szCs w:val="20"/>
          <w:lang w:val="et-EE"/>
        </w:rPr>
        <w:t>Edastatud adressaadile ja vastustajale</w:t>
      </w:r>
      <w:r w:rsidR="00B94256">
        <w:rPr>
          <w:bCs/>
          <w:szCs w:val="20"/>
          <w:lang w:val="et-EE"/>
        </w:rPr>
        <w:t xml:space="preserve"> E-toimiku kaudu</w:t>
      </w:r>
      <w:r w:rsidRPr="005F32DE">
        <w:rPr>
          <w:bCs/>
          <w:szCs w:val="20"/>
          <w:lang w:val="et-EE"/>
        </w:rPr>
        <w:t xml:space="preserve">. </w:t>
      </w:r>
    </w:p>
    <w:p w14:paraId="7601445E" w14:textId="77777777" w:rsidR="009B7453" w:rsidRPr="005F32DE" w:rsidRDefault="009B7453" w:rsidP="004C2C41">
      <w:pPr>
        <w:spacing w:line="276" w:lineRule="auto"/>
        <w:rPr>
          <w:bCs/>
          <w:szCs w:val="20"/>
          <w:lang w:val="et-EE"/>
        </w:rPr>
      </w:pPr>
    </w:p>
    <w:p w14:paraId="29A8D01F" w14:textId="77777777" w:rsidR="009B7453" w:rsidRPr="005F32DE" w:rsidRDefault="009B7453" w:rsidP="004C2C41">
      <w:pPr>
        <w:spacing w:line="276" w:lineRule="auto"/>
        <w:rPr>
          <w:bCs/>
          <w:szCs w:val="20"/>
          <w:lang w:val="et-EE"/>
        </w:rPr>
      </w:pPr>
    </w:p>
    <w:p w14:paraId="4C450669" w14:textId="143D1F5C" w:rsidR="009B7453" w:rsidRPr="005F32DE" w:rsidRDefault="009B7453" w:rsidP="004C2C41">
      <w:pPr>
        <w:spacing w:line="276" w:lineRule="auto"/>
        <w:rPr>
          <w:b/>
          <w:szCs w:val="20"/>
          <w:lang w:val="et-EE"/>
        </w:rPr>
      </w:pPr>
      <w:r w:rsidRPr="005F32DE">
        <w:rPr>
          <w:b/>
          <w:szCs w:val="20"/>
          <w:lang w:val="et-EE"/>
        </w:rPr>
        <w:t xml:space="preserve">Kassaator (kaebaja): </w:t>
      </w:r>
      <w:r w:rsidRPr="005F32DE">
        <w:rPr>
          <w:b/>
          <w:szCs w:val="20"/>
          <w:lang w:val="et-EE"/>
        </w:rPr>
        <w:tab/>
        <w:t>Otto Albert de Voogd</w:t>
      </w:r>
    </w:p>
    <w:p w14:paraId="0F13B91F" w14:textId="10958262"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Isikukood 36710190054</w:t>
      </w:r>
    </w:p>
    <w:p w14:paraId="02B19EFA" w14:textId="52B7A4DE"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Vihuri 1-37</w:t>
      </w:r>
    </w:p>
    <w:p w14:paraId="732C7F96" w14:textId="6A3CCC7C"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 xml:space="preserve">10311 Tallinn </w:t>
      </w:r>
    </w:p>
    <w:p w14:paraId="0D278220" w14:textId="397DAA35"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Tel 538 36846</w:t>
      </w:r>
    </w:p>
    <w:p w14:paraId="3FB7CDEE" w14:textId="24F78215"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 xml:space="preserve">E-post </w:t>
      </w:r>
      <w:hyperlink r:id="rId11" w:history="1">
        <w:r w:rsidRPr="005F32DE">
          <w:rPr>
            <w:rStyle w:val="Hyperlink"/>
            <w:szCs w:val="20"/>
            <w:lang w:val="et-EE"/>
          </w:rPr>
          <w:t>otto@de-voogd.com</w:t>
        </w:r>
      </w:hyperlink>
      <w:r w:rsidRPr="005F32DE">
        <w:rPr>
          <w:szCs w:val="20"/>
          <w:lang w:val="et-EE"/>
        </w:rPr>
        <w:t xml:space="preserve"> </w:t>
      </w:r>
    </w:p>
    <w:p w14:paraId="0964082B" w14:textId="77777777" w:rsidR="009B7453" w:rsidRPr="005F32DE" w:rsidRDefault="009B7453" w:rsidP="004C2C41">
      <w:pPr>
        <w:spacing w:line="276" w:lineRule="auto"/>
        <w:rPr>
          <w:b/>
          <w:szCs w:val="20"/>
          <w:lang w:val="et-EE"/>
        </w:rPr>
      </w:pPr>
    </w:p>
    <w:p w14:paraId="5D9A11E4" w14:textId="7AAFE149" w:rsidR="009B7453" w:rsidRPr="005F32DE" w:rsidRDefault="004C2C41" w:rsidP="004C2C41">
      <w:pPr>
        <w:spacing w:line="276" w:lineRule="auto"/>
        <w:rPr>
          <w:b/>
          <w:bCs/>
          <w:szCs w:val="20"/>
          <w:lang w:val="et-EE"/>
        </w:rPr>
      </w:pPr>
      <w:r w:rsidRPr="005F32DE">
        <w:rPr>
          <w:b/>
          <w:bCs/>
          <w:szCs w:val="20"/>
          <w:lang w:val="et-EE"/>
        </w:rPr>
        <w:t>Kassaatori</w:t>
      </w:r>
    </w:p>
    <w:p w14:paraId="7AAD4179" w14:textId="77777777" w:rsidR="009B7453" w:rsidRPr="005F32DE" w:rsidRDefault="009B7453" w:rsidP="004C2C41">
      <w:pPr>
        <w:spacing w:line="276" w:lineRule="auto"/>
        <w:rPr>
          <w:b/>
          <w:bCs/>
          <w:szCs w:val="20"/>
          <w:lang w:val="et-EE"/>
        </w:rPr>
      </w:pPr>
      <w:r w:rsidRPr="005F32DE">
        <w:rPr>
          <w:b/>
          <w:bCs/>
          <w:szCs w:val="20"/>
          <w:lang w:val="et-EE"/>
        </w:rPr>
        <w:t>lepinguline esindaja:</w:t>
      </w:r>
      <w:r w:rsidRPr="005F32DE">
        <w:rPr>
          <w:b/>
          <w:bCs/>
          <w:szCs w:val="20"/>
          <w:lang w:val="et-EE"/>
        </w:rPr>
        <w:tab/>
        <w:t>vandeadvokaat Priit Lätt</w:t>
      </w:r>
    </w:p>
    <w:p w14:paraId="63B5C381" w14:textId="46461667" w:rsidR="009B7453" w:rsidRPr="005F32DE" w:rsidRDefault="009B7453" w:rsidP="004C2C41">
      <w:pPr>
        <w:spacing w:line="276" w:lineRule="auto"/>
        <w:rPr>
          <w:bCs/>
          <w:szCs w:val="20"/>
          <w:lang w:val="et-EE"/>
        </w:rPr>
      </w:pPr>
      <w:r w:rsidRPr="005F32DE">
        <w:rPr>
          <w:b/>
          <w:bCs/>
          <w:szCs w:val="20"/>
          <w:lang w:val="et-EE"/>
        </w:rPr>
        <w:tab/>
      </w:r>
      <w:r w:rsidR="004C2C41" w:rsidRPr="005F32DE">
        <w:rPr>
          <w:b/>
          <w:bCs/>
          <w:szCs w:val="20"/>
          <w:lang w:val="et-EE"/>
        </w:rPr>
        <w:tab/>
      </w:r>
      <w:r w:rsidRPr="005F32DE">
        <w:rPr>
          <w:bCs/>
          <w:szCs w:val="20"/>
          <w:lang w:val="et-EE"/>
        </w:rPr>
        <w:t>Advokaadibüroo GLIMSTEDT</w:t>
      </w:r>
    </w:p>
    <w:p w14:paraId="4F1A1224" w14:textId="09D63ECB" w:rsidR="009B7453" w:rsidRPr="005F32DE" w:rsidRDefault="009B7453" w:rsidP="004C2C41">
      <w:pPr>
        <w:spacing w:line="276" w:lineRule="auto"/>
        <w:rPr>
          <w:bCs/>
          <w:szCs w:val="20"/>
          <w:lang w:val="et-EE"/>
        </w:rPr>
      </w:pPr>
      <w:r w:rsidRPr="005F32DE">
        <w:rPr>
          <w:bCs/>
          <w:szCs w:val="20"/>
          <w:lang w:val="et-EE"/>
        </w:rPr>
        <w:tab/>
      </w:r>
      <w:r w:rsidR="004C2C41" w:rsidRPr="005F32DE">
        <w:rPr>
          <w:bCs/>
          <w:szCs w:val="20"/>
          <w:lang w:val="et-EE"/>
        </w:rPr>
        <w:tab/>
      </w:r>
      <w:r w:rsidRPr="005F32DE">
        <w:rPr>
          <w:bCs/>
          <w:szCs w:val="20"/>
          <w:lang w:val="et-EE"/>
        </w:rPr>
        <w:t xml:space="preserve">Rävala pst 5 </w:t>
      </w:r>
    </w:p>
    <w:p w14:paraId="3636C698" w14:textId="7B33AF42" w:rsidR="009B7453" w:rsidRPr="005F32DE" w:rsidRDefault="009B7453" w:rsidP="004C2C41">
      <w:pPr>
        <w:spacing w:line="276" w:lineRule="auto"/>
        <w:rPr>
          <w:bCs/>
          <w:szCs w:val="20"/>
          <w:lang w:val="et-EE"/>
        </w:rPr>
      </w:pPr>
      <w:r w:rsidRPr="005F32DE">
        <w:rPr>
          <w:bCs/>
          <w:szCs w:val="20"/>
          <w:lang w:val="et-EE"/>
        </w:rPr>
        <w:tab/>
      </w:r>
      <w:r w:rsidR="004C2C41" w:rsidRPr="005F32DE">
        <w:rPr>
          <w:bCs/>
          <w:szCs w:val="20"/>
          <w:lang w:val="et-EE"/>
        </w:rPr>
        <w:tab/>
      </w:r>
      <w:r w:rsidRPr="005F32DE">
        <w:rPr>
          <w:bCs/>
          <w:szCs w:val="20"/>
          <w:lang w:val="et-EE"/>
        </w:rPr>
        <w:t>10143 Tallinn</w:t>
      </w:r>
    </w:p>
    <w:p w14:paraId="6E6D950D" w14:textId="08D77C0E" w:rsidR="009B7453" w:rsidRPr="005F32DE" w:rsidRDefault="009B7453" w:rsidP="004C2C41">
      <w:pPr>
        <w:spacing w:line="276" w:lineRule="auto"/>
        <w:rPr>
          <w:bCs/>
          <w:szCs w:val="20"/>
          <w:lang w:val="et-EE"/>
        </w:rPr>
      </w:pPr>
      <w:r w:rsidRPr="005F32DE">
        <w:rPr>
          <w:bCs/>
          <w:szCs w:val="20"/>
          <w:lang w:val="et-EE"/>
        </w:rPr>
        <w:tab/>
      </w:r>
      <w:r w:rsidR="004C2C41" w:rsidRPr="005F32DE">
        <w:rPr>
          <w:bCs/>
          <w:szCs w:val="20"/>
          <w:lang w:val="et-EE"/>
        </w:rPr>
        <w:tab/>
      </w:r>
      <w:r w:rsidRPr="005F32DE">
        <w:rPr>
          <w:bCs/>
          <w:szCs w:val="20"/>
          <w:lang w:val="et-EE"/>
        </w:rPr>
        <w:t>Tel 611 8050</w:t>
      </w:r>
    </w:p>
    <w:p w14:paraId="7CFBF9C6" w14:textId="4DBEC8FA" w:rsidR="009B7453" w:rsidRPr="005F32DE" w:rsidRDefault="009B7453" w:rsidP="004C2C41">
      <w:pPr>
        <w:spacing w:line="276" w:lineRule="auto"/>
        <w:rPr>
          <w:bCs/>
          <w:szCs w:val="20"/>
          <w:u w:val="single"/>
          <w:lang w:val="et-EE"/>
        </w:rPr>
      </w:pPr>
      <w:r w:rsidRPr="005F32DE">
        <w:rPr>
          <w:bCs/>
          <w:szCs w:val="20"/>
          <w:lang w:val="et-EE"/>
        </w:rPr>
        <w:tab/>
      </w:r>
      <w:r w:rsidR="004C2C41" w:rsidRPr="005F32DE">
        <w:rPr>
          <w:bCs/>
          <w:szCs w:val="20"/>
          <w:lang w:val="et-EE"/>
        </w:rPr>
        <w:tab/>
      </w:r>
      <w:r w:rsidRPr="005F32DE">
        <w:rPr>
          <w:bCs/>
          <w:szCs w:val="20"/>
          <w:lang w:val="et-EE"/>
        </w:rPr>
        <w:t xml:space="preserve">E-post </w:t>
      </w:r>
      <w:hyperlink r:id="rId12" w:history="1">
        <w:r w:rsidRPr="005F32DE">
          <w:rPr>
            <w:rStyle w:val="Hyperlink"/>
            <w:bCs/>
            <w:szCs w:val="20"/>
            <w:lang w:val="et-EE"/>
          </w:rPr>
          <w:t>menetlus@glimstedt.ee</w:t>
        </w:r>
      </w:hyperlink>
    </w:p>
    <w:p w14:paraId="69AA0A0D" w14:textId="77777777" w:rsidR="009B7453" w:rsidRPr="005F32DE" w:rsidRDefault="009B7453" w:rsidP="004C2C41">
      <w:pPr>
        <w:spacing w:line="276" w:lineRule="auto"/>
        <w:rPr>
          <w:b/>
          <w:bCs/>
          <w:szCs w:val="20"/>
          <w:lang w:val="et-EE"/>
        </w:rPr>
      </w:pPr>
      <w:r w:rsidRPr="005F32DE">
        <w:rPr>
          <w:b/>
          <w:bCs/>
          <w:szCs w:val="20"/>
          <w:lang w:val="et-EE"/>
        </w:rPr>
        <w:t xml:space="preserve">Palun kõik menetlusdokumendid edastada lepingulisele esindajale. </w:t>
      </w:r>
    </w:p>
    <w:p w14:paraId="3B508EEE" w14:textId="77777777" w:rsidR="009B7453" w:rsidRPr="005F32DE" w:rsidRDefault="009B7453" w:rsidP="004C2C41">
      <w:pPr>
        <w:spacing w:line="276" w:lineRule="auto"/>
        <w:rPr>
          <w:szCs w:val="20"/>
          <w:lang w:val="et-EE"/>
        </w:rPr>
      </w:pPr>
    </w:p>
    <w:p w14:paraId="1C88241E" w14:textId="2B30F8E3" w:rsidR="009B7453" w:rsidRPr="005F32DE" w:rsidRDefault="009B7453" w:rsidP="004C2C41">
      <w:pPr>
        <w:spacing w:line="276" w:lineRule="auto"/>
        <w:rPr>
          <w:b/>
          <w:szCs w:val="20"/>
          <w:lang w:val="et-EE"/>
        </w:rPr>
      </w:pPr>
      <w:r w:rsidRPr="005F32DE">
        <w:rPr>
          <w:b/>
          <w:szCs w:val="20"/>
          <w:lang w:val="et-EE"/>
        </w:rPr>
        <w:t>Vastustaja:</w:t>
      </w:r>
      <w:r w:rsidRPr="005F32DE">
        <w:rPr>
          <w:b/>
          <w:szCs w:val="20"/>
          <w:lang w:val="et-EE"/>
        </w:rPr>
        <w:tab/>
      </w:r>
      <w:r w:rsidR="004C2C41" w:rsidRPr="005F32DE">
        <w:rPr>
          <w:b/>
          <w:szCs w:val="20"/>
          <w:lang w:val="et-EE"/>
        </w:rPr>
        <w:tab/>
      </w:r>
      <w:r w:rsidRPr="005F32DE">
        <w:rPr>
          <w:b/>
          <w:szCs w:val="20"/>
          <w:lang w:val="et-EE"/>
        </w:rPr>
        <w:t>Politsei- ja Piirivalveameti keskkriminaalpolitsei rahapesu andmebüroo</w:t>
      </w:r>
    </w:p>
    <w:p w14:paraId="2DDE5CB4" w14:textId="10C8DCAE" w:rsidR="009B7453" w:rsidRPr="005F32DE" w:rsidRDefault="009B7453" w:rsidP="004C2C41">
      <w:pPr>
        <w:spacing w:line="276" w:lineRule="auto"/>
        <w:rPr>
          <w:szCs w:val="20"/>
          <w:lang w:val="et-EE"/>
        </w:rPr>
      </w:pPr>
      <w:r w:rsidRPr="005F32DE">
        <w:rPr>
          <w:b/>
          <w:szCs w:val="20"/>
          <w:lang w:val="et-EE"/>
        </w:rPr>
        <w:tab/>
      </w:r>
      <w:r w:rsidR="004C2C41" w:rsidRPr="005F32DE">
        <w:rPr>
          <w:b/>
          <w:szCs w:val="20"/>
          <w:lang w:val="et-EE"/>
        </w:rPr>
        <w:tab/>
      </w:r>
      <w:r w:rsidRPr="005F32DE">
        <w:rPr>
          <w:szCs w:val="20"/>
          <w:lang w:val="et-EE"/>
        </w:rPr>
        <w:t>Tööstuse 52</w:t>
      </w:r>
    </w:p>
    <w:p w14:paraId="46973C02" w14:textId="04C6CC3E"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 xml:space="preserve">10416 Tallinn </w:t>
      </w:r>
    </w:p>
    <w:p w14:paraId="32E5F1AB" w14:textId="59960F82"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Tel 612 3840</w:t>
      </w:r>
    </w:p>
    <w:p w14:paraId="3A74F7E6" w14:textId="6CDDD5C6" w:rsidR="009B7453" w:rsidRPr="005F32DE" w:rsidRDefault="009B7453" w:rsidP="004C2C41">
      <w:pPr>
        <w:spacing w:line="276" w:lineRule="auto"/>
        <w:rPr>
          <w:szCs w:val="20"/>
          <w:lang w:val="et-EE"/>
        </w:rPr>
      </w:pPr>
      <w:r w:rsidRPr="005F32DE">
        <w:rPr>
          <w:szCs w:val="20"/>
          <w:lang w:val="et-EE"/>
        </w:rPr>
        <w:tab/>
      </w:r>
      <w:r w:rsidR="004C2C41" w:rsidRPr="005F32DE">
        <w:rPr>
          <w:szCs w:val="20"/>
          <w:lang w:val="et-EE"/>
        </w:rPr>
        <w:tab/>
      </w:r>
      <w:r w:rsidRPr="005F32DE">
        <w:rPr>
          <w:szCs w:val="20"/>
          <w:lang w:val="et-EE"/>
        </w:rPr>
        <w:t xml:space="preserve">E-post </w:t>
      </w:r>
      <w:hyperlink r:id="rId13" w:history="1">
        <w:r w:rsidRPr="005F32DE">
          <w:rPr>
            <w:rStyle w:val="Hyperlink"/>
            <w:szCs w:val="20"/>
            <w:lang w:val="et-EE"/>
          </w:rPr>
          <w:t>arnold.tenusaar@politsei.ee</w:t>
        </w:r>
      </w:hyperlink>
      <w:r w:rsidRPr="005F32DE">
        <w:rPr>
          <w:szCs w:val="20"/>
          <w:lang w:val="et-EE"/>
        </w:rPr>
        <w:t xml:space="preserve"> </w:t>
      </w:r>
    </w:p>
    <w:p w14:paraId="4E9373A0" w14:textId="77777777" w:rsidR="009B7453" w:rsidRPr="005F32DE" w:rsidRDefault="009B7453" w:rsidP="004C2C41">
      <w:pPr>
        <w:spacing w:line="276" w:lineRule="auto"/>
        <w:rPr>
          <w:szCs w:val="20"/>
          <w:lang w:val="et-EE"/>
        </w:rPr>
      </w:pPr>
    </w:p>
    <w:p w14:paraId="077BC188" w14:textId="77777777" w:rsidR="009B7453" w:rsidRPr="005F32DE" w:rsidRDefault="009B7453" w:rsidP="004C2C41">
      <w:pPr>
        <w:tabs>
          <w:tab w:val="left" w:pos="2268"/>
        </w:tabs>
        <w:autoSpaceDE w:val="0"/>
        <w:autoSpaceDN w:val="0"/>
        <w:adjustRightInd w:val="0"/>
        <w:spacing w:line="276" w:lineRule="auto"/>
        <w:jc w:val="both"/>
        <w:rPr>
          <w:b/>
          <w:bCs/>
          <w:szCs w:val="20"/>
          <w:lang w:val="et-EE"/>
        </w:rPr>
      </w:pPr>
    </w:p>
    <w:p w14:paraId="31BC388D" w14:textId="77777777" w:rsidR="009B7453" w:rsidRPr="005F32DE" w:rsidRDefault="009B7453" w:rsidP="004C2C41">
      <w:pPr>
        <w:tabs>
          <w:tab w:val="left" w:pos="2268"/>
        </w:tabs>
        <w:autoSpaceDE w:val="0"/>
        <w:autoSpaceDN w:val="0"/>
        <w:adjustRightInd w:val="0"/>
        <w:spacing w:line="276" w:lineRule="auto"/>
        <w:jc w:val="both"/>
        <w:rPr>
          <w:b/>
          <w:bCs/>
          <w:szCs w:val="20"/>
          <w:lang w:val="et-EE"/>
        </w:rPr>
      </w:pPr>
      <w:r w:rsidRPr="005F32DE">
        <w:rPr>
          <w:b/>
          <w:bCs/>
          <w:szCs w:val="20"/>
          <w:lang w:val="et-EE"/>
        </w:rPr>
        <w:t>KASSATSIOONKAEBUS</w:t>
      </w:r>
    </w:p>
    <w:p w14:paraId="1CD25144" w14:textId="06567234" w:rsidR="009B7453" w:rsidRPr="005F32DE" w:rsidRDefault="009B7453" w:rsidP="004C2C41">
      <w:pPr>
        <w:tabs>
          <w:tab w:val="left" w:pos="2268"/>
        </w:tabs>
        <w:autoSpaceDE w:val="0"/>
        <w:autoSpaceDN w:val="0"/>
        <w:adjustRightInd w:val="0"/>
        <w:spacing w:line="276" w:lineRule="auto"/>
        <w:jc w:val="both"/>
        <w:rPr>
          <w:b/>
          <w:bCs/>
          <w:szCs w:val="20"/>
          <w:lang w:val="et-EE"/>
        </w:rPr>
      </w:pPr>
      <w:r w:rsidRPr="005F32DE">
        <w:rPr>
          <w:b/>
          <w:bCs/>
          <w:szCs w:val="20"/>
          <w:lang w:val="et-EE"/>
        </w:rPr>
        <w:t>Ta</w:t>
      </w:r>
      <w:r w:rsidR="004C2C41" w:rsidRPr="005F32DE">
        <w:rPr>
          <w:b/>
          <w:bCs/>
          <w:szCs w:val="20"/>
          <w:lang w:val="et-EE"/>
        </w:rPr>
        <w:t>llinna Ringkonnakohtu 18.06.</w:t>
      </w:r>
      <w:r w:rsidRPr="005F32DE">
        <w:rPr>
          <w:b/>
          <w:bCs/>
          <w:szCs w:val="20"/>
          <w:lang w:val="et-EE"/>
        </w:rPr>
        <w:t>2015 ko</w:t>
      </w:r>
      <w:r w:rsidR="00AD0701">
        <w:rPr>
          <w:b/>
          <w:bCs/>
          <w:szCs w:val="20"/>
          <w:lang w:val="et-EE"/>
        </w:rPr>
        <w:t>htuotsuse peale haldusasjas nr 3-14</w:t>
      </w:r>
      <w:r w:rsidRPr="005F32DE">
        <w:rPr>
          <w:b/>
          <w:bCs/>
          <w:szCs w:val="20"/>
          <w:lang w:val="et-EE"/>
        </w:rPr>
        <w:t>-50581</w:t>
      </w:r>
    </w:p>
    <w:p w14:paraId="67212077" w14:textId="77777777" w:rsidR="009B7453" w:rsidRPr="005F32DE" w:rsidRDefault="009B7453" w:rsidP="004C2C41">
      <w:pPr>
        <w:tabs>
          <w:tab w:val="left" w:pos="2268"/>
        </w:tabs>
        <w:autoSpaceDE w:val="0"/>
        <w:autoSpaceDN w:val="0"/>
        <w:adjustRightInd w:val="0"/>
        <w:spacing w:line="276" w:lineRule="auto"/>
        <w:jc w:val="both"/>
        <w:rPr>
          <w:bCs/>
          <w:szCs w:val="20"/>
          <w:lang w:val="et-EE"/>
        </w:rPr>
      </w:pPr>
    </w:p>
    <w:p w14:paraId="4862A0E9" w14:textId="77777777" w:rsidR="004C2C41" w:rsidRPr="005F32DE" w:rsidRDefault="004C2C41" w:rsidP="004C2C41">
      <w:pPr>
        <w:tabs>
          <w:tab w:val="left" w:pos="2268"/>
        </w:tabs>
        <w:autoSpaceDE w:val="0"/>
        <w:autoSpaceDN w:val="0"/>
        <w:adjustRightInd w:val="0"/>
        <w:spacing w:line="276" w:lineRule="auto"/>
        <w:jc w:val="both"/>
        <w:rPr>
          <w:bCs/>
          <w:szCs w:val="20"/>
          <w:lang w:val="et-EE"/>
        </w:rPr>
      </w:pPr>
    </w:p>
    <w:p w14:paraId="753ECAF7" w14:textId="29B2C883" w:rsidR="009B7453" w:rsidRPr="005F32DE" w:rsidRDefault="0037015C" w:rsidP="004C2C41">
      <w:pPr>
        <w:pStyle w:val="ListParagraph"/>
        <w:numPr>
          <w:ilvl w:val="0"/>
          <w:numId w:val="27"/>
        </w:numPr>
        <w:tabs>
          <w:tab w:val="clear" w:pos="390"/>
          <w:tab w:val="num" w:pos="709"/>
          <w:tab w:val="left" w:pos="2268"/>
        </w:tabs>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
          <w:bCs/>
          <w:sz w:val="20"/>
          <w:szCs w:val="20"/>
        </w:rPr>
        <w:t>A</w:t>
      </w:r>
      <w:r w:rsidR="009B7453" w:rsidRPr="005F32DE">
        <w:rPr>
          <w:rFonts w:ascii="Trebuchet MS" w:hAnsi="Trebuchet MS"/>
          <w:b/>
          <w:bCs/>
          <w:sz w:val="20"/>
          <w:szCs w:val="20"/>
        </w:rPr>
        <w:t>sjaolud ja menetluse käik</w:t>
      </w:r>
    </w:p>
    <w:p w14:paraId="5B2AA063" w14:textId="77777777" w:rsidR="004C2C41" w:rsidRPr="005F32DE" w:rsidRDefault="004C2C41" w:rsidP="004C2C41">
      <w:pPr>
        <w:tabs>
          <w:tab w:val="num" w:pos="709"/>
        </w:tabs>
        <w:autoSpaceDE w:val="0"/>
        <w:autoSpaceDN w:val="0"/>
        <w:adjustRightInd w:val="0"/>
        <w:spacing w:line="276" w:lineRule="auto"/>
        <w:rPr>
          <w:bCs/>
          <w:szCs w:val="20"/>
          <w:lang w:val="et-EE"/>
        </w:rPr>
      </w:pPr>
    </w:p>
    <w:p w14:paraId="0F050F20" w14:textId="4707072B" w:rsidR="009B7453" w:rsidRPr="005F32DE" w:rsidRDefault="009B7453" w:rsidP="004C2C41">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cs="Tahoma"/>
          <w:sz w:val="20"/>
          <w:szCs w:val="20"/>
          <w:shd w:val="clear" w:color="auto" w:fill="FFFFFF"/>
        </w:rPr>
        <w:t xml:space="preserve">13.02.2014 pöördus Politsei- ja Piirivalveameti rahapesu andmebüroo (edaspidi </w:t>
      </w:r>
      <w:r w:rsidRPr="005F32DE">
        <w:rPr>
          <w:rFonts w:ascii="Trebuchet MS" w:hAnsi="Trebuchet MS" w:cs="Tahoma"/>
          <w:b/>
          <w:sz w:val="20"/>
          <w:szCs w:val="20"/>
          <w:shd w:val="clear" w:color="auto" w:fill="FFFFFF"/>
        </w:rPr>
        <w:t>vastustaja</w:t>
      </w:r>
      <w:r w:rsidRPr="005F32DE">
        <w:rPr>
          <w:rFonts w:ascii="Trebuchet MS" w:hAnsi="Trebuchet MS" w:cs="Tahoma"/>
          <w:sz w:val="20"/>
          <w:szCs w:val="20"/>
          <w:shd w:val="clear" w:color="auto" w:fill="FFFFFF"/>
        </w:rPr>
        <w:t xml:space="preserve"> või </w:t>
      </w:r>
      <w:r w:rsidRPr="005F32DE">
        <w:rPr>
          <w:rFonts w:ascii="Trebuchet MS" w:hAnsi="Trebuchet MS" w:cs="Tahoma"/>
          <w:b/>
          <w:sz w:val="20"/>
          <w:szCs w:val="20"/>
          <w:shd w:val="clear" w:color="auto" w:fill="FFFFFF"/>
        </w:rPr>
        <w:t>RAB</w:t>
      </w:r>
      <w:r w:rsidRPr="005F32DE">
        <w:rPr>
          <w:rFonts w:ascii="Trebuchet MS" w:hAnsi="Trebuchet MS" w:cs="Tahoma"/>
          <w:sz w:val="20"/>
          <w:szCs w:val="20"/>
          <w:shd w:val="clear" w:color="auto" w:fill="FFFFFF"/>
        </w:rPr>
        <w:t xml:space="preserve">) e-posti teel </w:t>
      </w:r>
      <w:r w:rsidRPr="005F32DE">
        <w:rPr>
          <w:rFonts w:ascii="Trebuchet MS" w:hAnsi="Trebuchet MS"/>
          <w:sz w:val="20"/>
          <w:szCs w:val="20"/>
        </w:rPr>
        <w:t>Otto Albert de Voogd</w:t>
      </w:r>
      <w:r w:rsidRPr="005F32DE">
        <w:rPr>
          <w:rFonts w:ascii="Trebuchet MS" w:hAnsi="Trebuchet MS"/>
          <w:bCs/>
          <w:sz w:val="20"/>
          <w:szCs w:val="20"/>
        </w:rPr>
        <w:t xml:space="preserve">’i (edaspidi </w:t>
      </w:r>
      <w:r w:rsidRPr="005F32DE">
        <w:rPr>
          <w:rFonts w:ascii="Trebuchet MS" w:hAnsi="Trebuchet MS"/>
          <w:b/>
          <w:bCs/>
          <w:sz w:val="20"/>
          <w:szCs w:val="20"/>
        </w:rPr>
        <w:t>kaebaja</w:t>
      </w:r>
      <w:r w:rsidRPr="005F32DE">
        <w:rPr>
          <w:rFonts w:ascii="Trebuchet MS" w:hAnsi="Trebuchet MS"/>
          <w:bCs/>
          <w:sz w:val="20"/>
          <w:szCs w:val="20"/>
        </w:rPr>
        <w:t xml:space="preserve">) poole sooviga </w:t>
      </w:r>
      <w:r w:rsidRPr="005F32DE">
        <w:rPr>
          <w:rFonts w:ascii="Trebuchet MS" w:hAnsi="Trebuchet MS" w:cs="Helvetica"/>
          <w:sz w:val="20"/>
          <w:szCs w:val="20"/>
        </w:rPr>
        <w:t>kohtuda, et selgitada seaduse nõudeid ning teostada järelevalvet tegevuse üle bitcoin’ide ostmisel ja müümisel, mida RAB käsitles ja käsitleb alternatiivsete maksevahendite teenuse pakkumisena</w:t>
      </w:r>
      <w:r w:rsidRPr="005F32DE">
        <w:rPr>
          <w:rFonts w:ascii="Trebuchet MS" w:hAnsi="Trebuchet MS" w:cs="Tahoma"/>
          <w:sz w:val="20"/>
          <w:szCs w:val="20"/>
          <w:shd w:val="clear" w:color="auto" w:fill="FFFFFF"/>
        </w:rPr>
        <w:t xml:space="preserve"> rahapesu ja terrorismi rahastamise tõkestamise seaduse (edaspidi </w:t>
      </w:r>
      <w:r w:rsidRPr="005F32DE">
        <w:rPr>
          <w:rFonts w:ascii="Trebuchet MS" w:hAnsi="Trebuchet MS" w:cs="Tahoma"/>
          <w:b/>
          <w:sz w:val="20"/>
          <w:szCs w:val="20"/>
          <w:shd w:val="clear" w:color="auto" w:fill="FFFFFF"/>
        </w:rPr>
        <w:t>RahaPTS</w:t>
      </w:r>
      <w:r w:rsidRPr="005F32DE">
        <w:rPr>
          <w:rFonts w:ascii="Trebuchet MS" w:hAnsi="Trebuchet MS" w:cs="Tahoma"/>
          <w:sz w:val="20"/>
          <w:szCs w:val="20"/>
          <w:shd w:val="clear" w:color="auto" w:fill="FFFFFF"/>
        </w:rPr>
        <w:t>) tähenduses</w:t>
      </w:r>
      <w:r w:rsidRPr="005F32DE">
        <w:rPr>
          <w:rFonts w:ascii="Trebuchet MS" w:hAnsi="Trebuchet MS"/>
          <w:bCs/>
          <w:sz w:val="20"/>
          <w:szCs w:val="20"/>
        </w:rPr>
        <w:t xml:space="preserve">. Sellele pöördumisele järgnes e-kirjavahetus kaebaja ja RAB-i vahel. </w:t>
      </w:r>
    </w:p>
    <w:p w14:paraId="3E641D95" w14:textId="77777777" w:rsidR="004C2C41" w:rsidRPr="005F32DE" w:rsidRDefault="004C2C41" w:rsidP="004C2C41">
      <w:pPr>
        <w:tabs>
          <w:tab w:val="num" w:pos="709"/>
        </w:tabs>
        <w:autoSpaceDE w:val="0"/>
        <w:autoSpaceDN w:val="0"/>
        <w:adjustRightInd w:val="0"/>
        <w:spacing w:line="276" w:lineRule="auto"/>
        <w:rPr>
          <w:bCs/>
          <w:szCs w:val="20"/>
          <w:lang w:val="et-EE"/>
        </w:rPr>
      </w:pPr>
    </w:p>
    <w:p w14:paraId="40744B13" w14:textId="06CF17BE" w:rsidR="009B7453" w:rsidRPr="005F32DE" w:rsidRDefault="009B7453" w:rsidP="004C2C41">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cs="Tahoma"/>
          <w:bCs/>
          <w:sz w:val="20"/>
          <w:szCs w:val="20"/>
          <w:shd w:val="clear" w:color="auto" w:fill="FFFFFF"/>
        </w:rPr>
        <w:t>24.03</w:t>
      </w:r>
      <w:r w:rsidR="006E28B6" w:rsidRPr="005F32DE">
        <w:rPr>
          <w:rFonts w:ascii="Trebuchet MS" w:hAnsi="Trebuchet MS" w:cs="Tahoma"/>
          <w:bCs/>
          <w:sz w:val="20"/>
          <w:szCs w:val="20"/>
          <w:shd w:val="clear" w:color="auto" w:fill="FFFFFF"/>
        </w:rPr>
        <w:t xml:space="preserve">.2014 tegi RAB ettekirjutuse nr </w:t>
      </w:r>
      <w:r w:rsidRPr="005F32DE">
        <w:rPr>
          <w:rFonts w:ascii="Trebuchet MS" w:hAnsi="Trebuchet MS" w:cs="Tahoma"/>
          <w:bCs/>
          <w:sz w:val="20"/>
          <w:szCs w:val="20"/>
          <w:shd w:val="clear" w:color="auto" w:fill="FFFFFF"/>
        </w:rPr>
        <w:t xml:space="preserve">1-9/1011 (edaspidi </w:t>
      </w:r>
      <w:r w:rsidRPr="005F32DE">
        <w:rPr>
          <w:rFonts w:ascii="Trebuchet MS" w:hAnsi="Trebuchet MS" w:cs="Tahoma"/>
          <w:b/>
          <w:bCs/>
          <w:sz w:val="20"/>
          <w:szCs w:val="20"/>
          <w:shd w:val="clear" w:color="auto" w:fill="FFFFFF"/>
        </w:rPr>
        <w:t>ettekirjutus</w:t>
      </w:r>
      <w:r w:rsidRPr="005F32DE">
        <w:rPr>
          <w:rFonts w:ascii="Trebuchet MS" w:hAnsi="Trebuchet MS" w:cs="Tahoma"/>
          <w:bCs/>
          <w:sz w:val="20"/>
          <w:szCs w:val="20"/>
          <w:shd w:val="clear" w:color="auto" w:fill="FFFFFF"/>
        </w:rPr>
        <w:t>)</w:t>
      </w:r>
      <w:r w:rsidRPr="005F32DE">
        <w:rPr>
          <w:rStyle w:val="apple-converted-space"/>
          <w:rFonts w:ascii="Trebuchet MS" w:hAnsi="Trebuchet MS" w:cs="Tahoma"/>
          <w:sz w:val="20"/>
          <w:szCs w:val="20"/>
          <w:shd w:val="clear" w:color="auto" w:fill="FFFFFF"/>
        </w:rPr>
        <w:t xml:space="preserve">, millega </w:t>
      </w:r>
      <w:r w:rsidRPr="005F32DE">
        <w:rPr>
          <w:rFonts w:ascii="Trebuchet MS" w:hAnsi="Trebuchet MS" w:cs="Tahoma"/>
          <w:sz w:val="20"/>
          <w:szCs w:val="20"/>
          <w:shd w:val="clear" w:color="auto" w:fill="FFFFFF"/>
        </w:rPr>
        <w:t>kohustati kaebajat riikliku järelevalve raames esitama teavet oma tegevuse kohta hiljemalt 28.03.2014</w:t>
      </w:r>
      <w:r w:rsidRPr="005F32DE">
        <w:rPr>
          <w:rFonts w:ascii="Trebuchet MS" w:hAnsi="Trebuchet MS"/>
          <w:bCs/>
          <w:sz w:val="20"/>
          <w:szCs w:val="20"/>
        </w:rPr>
        <w:t xml:space="preserve">.  </w:t>
      </w:r>
    </w:p>
    <w:p w14:paraId="213B4D2E" w14:textId="77777777" w:rsidR="004C2C41" w:rsidRPr="005F32DE" w:rsidRDefault="004C2C41" w:rsidP="004C2C41">
      <w:pPr>
        <w:tabs>
          <w:tab w:val="num" w:pos="709"/>
        </w:tabs>
        <w:autoSpaceDE w:val="0"/>
        <w:autoSpaceDN w:val="0"/>
        <w:adjustRightInd w:val="0"/>
        <w:spacing w:line="276" w:lineRule="auto"/>
        <w:rPr>
          <w:bCs/>
          <w:szCs w:val="20"/>
          <w:lang w:val="et-EE"/>
        </w:rPr>
      </w:pPr>
    </w:p>
    <w:p w14:paraId="7652A482" w14:textId="2E40C551" w:rsidR="009B7453" w:rsidRPr="005F32DE" w:rsidRDefault="009B7453" w:rsidP="009A5556">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28.03.2014 saatis kaebaja lepinguline esindaja RAB-le e-posti teel taotluse ettekirjutuse täitmiseks antud lühikese tähtaja pikendamiseks</w:t>
      </w:r>
      <w:r w:rsidR="006E28B6" w:rsidRPr="005F32DE">
        <w:rPr>
          <w:rFonts w:ascii="Trebuchet MS" w:hAnsi="Trebuchet MS"/>
          <w:bCs/>
          <w:sz w:val="20"/>
          <w:szCs w:val="20"/>
        </w:rPr>
        <w:t>.</w:t>
      </w:r>
      <w:r w:rsidRPr="005F32DE">
        <w:rPr>
          <w:rFonts w:ascii="Trebuchet MS" w:hAnsi="Trebuchet MS"/>
          <w:bCs/>
          <w:sz w:val="20"/>
          <w:szCs w:val="20"/>
        </w:rPr>
        <w:t xml:space="preserve"> </w:t>
      </w:r>
      <w:r w:rsidRPr="005F32DE">
        <w:rPr>
          <w:rFonts w:ascii="Trebuchet MS" w:hAnsi="Trebuchet MS"/>
          <w:sz w:val="20"/>
          <w:szCs w:val="20"/>
        </w:rPr>
        <w:t xml:space="preserve">02.04.2014 edastas kaebaja lepinguline esindaja vastava taotluse RAB-le ka digitaalselt allkirjastatult. </w:t>
      </w:r>
      <w:r w:rsidR="009A5556" w:rsidRPr="005F32DE">
        <w:rPr>
          <w:rFonts w:ascii="Trebuchet MS" w:hAnsi="Trebuchet MS"/>
          <w:sz w:val="20"/>
          <w:szCs w:val="20"/>
        </w:rPr>
        <w:t xml:space="preserve">15.04.2014 </w:t>
      </w:r>
      <w:r w:rsidR="009C76F4">
        <w:rPr>
          <w:rFonts w:ascii="Trebuchet MS" w:hAnsi="Trebuchet MS"/>
          <w:sz w:val="20"/>
          <w:szCs w:val="20"/>
        </w:rPr>
        <w:t xml:space="preserve">tegi RAB </w:t>
      </w:r>
      <w:r w:rsidR="009A5556" w:rsidRPr="005F32DE">
        <w:rPr>
          <w:rFonts w:ascii="Trebuchet MS" w:hAnsi="Trebuchet MS"/>
          <w:sz w:val="20"/>
          <w:szCs w:val="20"/>
        </w:rPr>
        <w:t xml:space="preserve">otsuse, millega </w:t>
      </w:r>
      <w:r w:rsidRPr="005F32DE">
        <w:rPr>
          <w:rFonts w:ascii="Trebuchet MS" w:hAnsi="Trebuchet MS"/>
          <w:sz w:val="20"/>
          <w:szCs w:val="20"/>
        </w:rPr>
        <w:t>pikend</w:t>
      </w:r>
      <w:r w:rsidR="009C76F4">
        <w:rPr>
          <w:rFonts w:ascii="Trebuchet MS" w:hAnsi="Trebuchet MS"/>
          <w:sz w:val="20"/>
          <w:szCs w:val="20"/>
        </w:rPr>
        <w:t xml:space="preserve">as </w:t>
      </w:r>
      <w:r w:rsidRPr="005F32DE">
        <w:rPr>
          <w:rFonts w:ascii="Trebuchet MS" w:hAnsi="Trebuchet MS"/>
          <w:sz w:val="20"/>
          <w:szCs w:val="20"/>
        </w:rPr>
        <w:t xml:space="preserve">ettekirjutuse täitmise tähtaega kuni 28.04.2014. </w:t>
      </w:r>
    </w:p>
    <w:p w14:paraId="5B7E0F47" w14:textId="77777777" w:rsidR="009B7453" w:rsidRPr="005F32DE" w:rsidRDefault="009B7453" w:rsidP="004C2C41">
      <w:pPr>
        <w:pStyle w:val="ListParagraph"/>
        <w:tabs>
          <w:tab w:val="num" w:pos="709"/>
        </w:tabs>
        <w:spacing w:line="276" w:lineRule="auto"/>
        <w:ind w:left="709" w:hanging="709"/>
        <w:contextualSpacing w:val="0"/>
        <w:rPr>
          <w:rFonts w:ascii="Trebuchet MS" w:hAnsi="Trebuchet MS"/>
          <w:sz w:val="20"/>
          <w:szCs w:val="20"/>
        </w:rPr>
      </w:pPr>
    </w:p>
    <w:p w14:paraId="5C9E7666" w14:textId="454921D5" w:rsidR="009B7453" w:rsidRPr="005F32DE" w:rsidRDefault="00984A69" w:rsidP="002F4BF5">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rPr>
      </w:pPr>
      <w:r>
        <w:rPr>
          <w:rFonts w:ascii="Trebuchet MS" w:hAnsi="Trebuchet MS"/>
          <w:sz w:val="20"/>
          <w:szCs w:val="20"/>
        </w:rPr>
        <w:t>21.04.2014</w:t>
      </w:r>
      <w:r w:rsidR="002F4BF5" w:rsidRPr="005F32DE">
        <w:rPr>
          <w:rFonts w:ascii="Trebuchet MS" w:hAnsi="Trebuchet MS"/>
          <w:sz w:val="20"/>
          <w:szCs w:val="20"/>
        </w:rPr>
        <w:t xml:space="preserve"> esitas kaebaja kaebuse Tallinna Halduskohtule ettekirjutuse tühistamiseks. </w:t>
      </w:r>
      <w:r w:rsidR="009B7453" w:rsidRPr="005F32DE">
        <w:rPr>
          <w:rFonts w:ascii="Trebuchet MS" w:hAnsi="Trebuchet MS"/>
          <w:sz w:val="20"/>
          <w:szCs w:val="20"/>
        </w:rPr>
        <w:t xml:space="preserve">23.04.2014 </w:t>
      </w:r>
      <w:r w:rsidR="002F4BF5" w:rsidRPr="005F32DE">
        <w:rPr>
          <w:rFonts w:ascii="Trebuchet MS" w:hAnsi="Trebuchet MS"/>
          <w:sz w:val="20"/>
          <w:szCs w:val="20"/>
        </w:rPr>
        <w:t xml:space="preserve">kohtumäärusega </w:t>
      </w:r>
      <w:r w:rsidR="00DD5E56">
        <w:rPr>
          <w:rFonts w:ascii="Trebuchet MS" w:hAnsi="Trebuchet MS"/>
          <w:sz w:val="20"/>
          <w:szCs w:val="20"/>
        </w:rPr>
        <w:t xml:space="preserve">rahuldas </w:t>
      </w:r>
      <w:r w:rsidR="002F4BF5" w:rsidRPr="005F32DE">
        <w:rPr>
          <w:rFonts w:ascii="Trebuchet MS" w:hAnsi="Trebuchet MS"/>
          <w:sz w:val="20"/>
          <w:szCs w:val="20"/>
        </w:rPr>
        <w:t>h</w:t>
      </w:r>
      <w:r w:rsidR="009B7453" w:rsidRPr="005F32DE">
        <w:rPr>
          <w:rFonts w:ascii="Trebuchet MS" w:hAnsi="Trebuchet MS"/>
          <w:sz w:val="20"/>
          <w:szCs w:val="20"/>
        </w:rPr>
        <w:t xml:space="preserve">alduskohus kaebaja esialgse õiguskaitse taotluse ning keelas RAB-l </w:t>
      </w:r>
      <w:r w:rsidR="009B7453" w:rsidRPr="005F32DE">
        <w:rPr>
          <w:rFonts w:ascii="Trebuchet MS" w:hAnsi="Trebuchet MS"/>
          <w:sz w:val="20"/>
          <w:szCs w:val="20"/>
        </w:rPr>
        <w:lastRenderedPageBreak/>
        <w:t>ettekirjutuse täitmise (kaebaja suhtes sunniraha kohaldamine) kohtuvaidluse lõpuni (kohtulahendi jõustumiseni).</w:t>
      </w:r>
      <w:r w:rsidR="002F4BF5" w:rsidRPr="005F32DE">
        <w:rPr>
          <w:rFonts w:ascii="Trebuchet MS" w:hAnsi="Trebuchet MS"/>
          <w:sz w:val="20"/>
          <w:szCs w:val="20"/>
        </w:rPr>
        <w:t xml:space="preserve"> </w:t>
      </w:r>
      <w:r w:rsidR="009B7453" w:rsidRPr="005F32DE">
        <w:rPr>
          <w:rFonts w:ascii="Trebuchet MS" w:hAnsi="Trebuchet MS"/>
          <w:sz w:val="20"/>
          <w:szCs w:val="20"/>
        </w:rPr>
        <w:t>18.11.2014 tegi Tallinna Halduskohus otsuse, millega jäeti kaebus rahuldamata ja m</w:t>
      </w:r>
      <w:r w:rsidR="00D6027B" w:rsidRPr="005F32DE">
        <w:rPr>
          <w:rFonts w:ascii="Trebuchet MS" w:hAnsi="Trebuchet MS"/>
          <w:sz w:val="20"/>
          <w:szCs w:val="20"/>
        </w:rPr>
        <w:t>enetluskulud poolte endi kanda</w:t>
      </w:r>
      <w:r w:rsidR="009B7453" w:rsidRPr="005F32DE">
        <w:rPr>
          <w:rFonts w:ascii="Trebuchet MS" w:hAnsi="Trebuchet MS"/>
          <w:sz w:val="20"/>
          <w:szCs w:val="20"/>
        </w:rPr>
        <w:t>.</w:t>
      </w:r>
    </w:p>
    <w:p w14:paraId="1193560B" w14:textId="77777777" w:rsidR="004C2C41" w:rsidRPr="005F32DE" w:rsidRDefault="004C2C41" w:rsidP="004C2C41">
      <w:pPr>
        <w:tabs>
          <w:tab w:val="num" w:pos="709"/>
        </w:tabs>
        <w:autoSpaceDE w:val="0"/>
        <w:autoSpaceDN w:val="0"/>
        <w:adjustRightInd w:val="0"/>
        <w:spacing w:line="276" w:lineRule="auto"/>
        <w:rPr>
          <w:bCs/>
          <w:szCs w:val="20"/>
          <w:lang w:val="et-EE"/>
        </w:rPr>
      </w:pPr>
    </w:p>
    <w:p w14:paraId="0A27B4AA" w14:textId="72C16573" w:rsidR="00F8697B" w:rsidRPr="005F32DE" w:rsidRDefault="00DD5E56" w:rsidP="004C2C41">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rPr>
      </w:pPr>
      <w:r>
        <w:rPr>
          <w:rFonts w:ascii="Trebuchet MS" w:hAnsi="Trebuchet MS"/>
          <w:bCs/>
          <w:sz w:val="20"/>
          <w:szCs w:val="20"/>
        </w:rPr>
        <w:t xml:space="preserve">18.12.2014 esitas kaebaja apellatsioonkaebuse Tallinna Halduskohtu otsuse peale. </w:t>
      </w:r>
      <w:r w:rsidR="009B7453" w:rsidRPr="005F32DE">
        <w:rPr>
          <w:rFonts w:ascii="Trebuchet MS" w:hAnsi="Trebuchet MS"/>
          <w:bCs/>
          <w:sz w:val="20"/>
          <w:szCs w:val="20"/>
        </w:rPr>
        <w:t xml:space="preserve">18.06.2015 tegi </w:t>
      </w:r>
      <w:r w:rsidR="00F8697B" w:rsidRPr="005F32DE">
        <w:rPr>
          <w:rFonts w:ascii="Trebuchet MS" w:hAnsi="Trebuchet MS"/>
          <w:bCs/>
          <w:sz w:val="20"/>
          <w:szCs w:val="20"/>
        </w:rPr>
        <w:t>Tallinna Ringkonnakohus otsuse, m</w:t>
      </w:r>
      <w:r w:rsidR="006E28B6" w:rsidRPr="005F32DE">
        <w:rPr>
          <w:rFonts w:ascii="Trebuchet MS" w:hAnsi="Trebuchet MS"/>
          <w:bCs/>
          <w:sz w:val="20"/>
          <w:szCs w:val="20"/>
        </w:rPr>
        <w:t xml:space="preserve">illega jäeti </w:t>
      </w:r>
      <w:r w:rsidR="0037015C" w:rsidRPr="005F32DE">
        <w:rPr>
          <w:rFonts w:ascii="Trebuchet MS" w:hAnsi="Trebuchet MS"/>
          <w:bCs/>
          <w:sz w:val="20"/>
          <w:szCs w:val="20"/>
        </w:rPr>
        <w:t>apellatsioon</w:t>
      </w:r>
      <w:r w:rsidR="006E28B6" w:rsidRPr="005F32DE">
        <w:rPr>
          <w:rFonts w:ascii="Trebuchet MS" w:hAnsi="Trebuchet MS"/>
          <w:bCs/>
          <w:sz w:val="20"/>
          <w:szCs w:val="20"/>
        </w:rPr>
        <w:t>kaebus rahuldamata ja h</w:t>
      </w:r>
      <w:r w:rsidR="00F8697B" w:rsidRPr="005F32DE">
        <w:rPr>
          <w:rFonts w:ascii="Trebuchet MS" w:hAnsi="Trebuchet MS"/>
          <w:bCs/>
          <w:sz w:val="20"/>
          <w:szCs w:val="20"/>
        </w:rPr>
        <w:t>alduskohtu otsus muutmata. Menetlu</w:t>
      </w:r>
      <w:r w:rsidR="00D6027B" w:rsidRPr="005F32DE">
        <w:rPr>
          <w:rFonts w:ascii="Trebuchet MS" w:hAnsi="Trebuchet MS"/>
          <w:bCs/>
          <w:sz w:val="20"/>
          <w:szCs w:val="20"/>
        </w:rPr>
        <w:t>skulud jäeti poolte endi kanda</w:t>
      </w:r>
      <w:r w:rsidR="00F8697B" w:rsidRPr="005F32DE">
        <w:rPr>
          <w:rFonts w:ascii="Trebuchet MS" w:hAnsi="Trebuchet MS"/>
          <w:bCs/>
          <w:sz w:val="20"/>
          <w:szCs w:val="20"/>
        </w:rPr>
        <w:t>.</w:t>
      </w:r>
    </w:p>
    <w:p w14:paraId="6ACB8905" w14:textId="77777777" w:rsidR="0037015C" w:rsidRPr="005F32DE" w:rsidRDefault="0037015C" w:rsidP="0037015C">
      <w:pPr>
        <w:pStyle w:val="ListParagraph"/>
        <w:rPr>
          <w:rFonts w:ascii="Trebuchet MS" w:hAnsi="Trebuchet MS"/>
          <w:bCs/>
          <w:sz w:val="20"/>
          <w:szCs w:val="20"/>
        </w:rPr>
      </w:pPr>
    </w:p>
    <w:p w14:paraId="30F60FDE" w14:textId="0FE7B721" w:rsidR="0037015C" w:rsidRPr="005F32DE" w:rsidRDefault="0037015C" w:rsidP="004C2C41">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Kaebaja vaidlustab Tallinna Ringkonnakohtu 18.06.2015 otsuse tervikuna. </w:t>
      </w:r>
    </w:p>
    <w:p w14:paraId="2F7FE09B" w14:textId="77777777" w:rsidR="004C2C41" w:rsidRPr="005F32DE" w:rsidRDefault="004C2C41" w:rsidP="004C2C41">
      <w:pPr>
        <w:tabs>
          <w:tab w:val="num" w:pos="709"/>
        </w:tabs>
        <w:autoSpaceDE w:val="0"/>
        <w:autoSpaceDN w:val="0"/>
        <w:adjustRightInd w:val="0"/>
        <w:spacing w:line="276" w:lineRule="auto"/>
        <w:rPr>
          <w:b/>
          <w:bCs/>
          <w:szCs w:val="20"/>
          <w:lang w:val="et-EE"/>
        </w:rPr>
      </w:pPr>
    </w:p>
    <w:p w14:paraId="08162825" w14:textId="77777777" w:rsidR="004C2C41" w:rsidRPr="005F32DE" w:rsidRDefault="004C2C41" w:rsidP="004C2C41">
      <w:pPr>
        <w:tabs>
          <w:tab w:val="num" w:pos="709"/>
        </w:tabs>
        <w:autoSpaceDE w:val="0"/>
        <w:autoSpaceDN w:val="0"/>
        <w:adjustRightInd w:val="0"/>
        <w:spacing w:line="276" w:lineRule="auto"/>
        <w:rPr>
          <w:b/>
          <w:bCs/>
          <w:szCs w:val="20"/>
          <w:lang w:val="et-EE"/>
        </w:rPr>
      </w:pPr>
    </w:p>
    <w:p w14:paraId="5E87D9BA" w14:textId="40A20384" w:rsidR="002A22EB" w:rsidRPr="005F32DE" w:rsidRDefault="002A22EB" w:rsidP="00004326">
      <w:pPr>
        <w:pStyle w:val="ListParagraph"/>
        <w:numPr>
          <w:ilvl w:val="0"/>
          <w:numId w:val="27"/>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
          <w:bCs/>
          <w:sz w:val="20"/>
          <w:szCs w:val="20"/>
        </w:rPr>
        <w:t xml:space="preserve">Kassatsioonkaebuse </w:t>
      </w:r>
      <w:r w:rsidR="00004326" w:rsidRPr="005F32DE">
        <w:rPr>
          <w:rFonts w:ascii="Trebuchet MS" w:hAnsi="Trebuchet MS"/>
          <w:b/>
          <w:bCs/>
          <w:sz w:val="20"/>
          <w:szCs w:val="20"/>
        </w:rPr>
        <w:t>põhiseisukoht ja olulised asjaolud</w:t>
      </w:r>
    </w:p>
    <w:p w14:paraId="550EC2F2" w14:textId="77777777" w:rsidR="004C2C41" w:rsidRPr="005F32DE" w:rsidRDefault="004C2C41" w:rsidP="00004326">
      <w:pPr>
        <w:tabs>
          <w:tab w:val="num" w:pos="709"/>
        </w:tabs>
        <w:autoSpaceDE w:val="0"/>
        <w:autoSpaceDN w:val="0"/>
        <w:adjustRightInd w:val="0"/>
        <w:spacing w:line="276" w:lineRule="auto"/>
        <w:rPr>
          <w:b/>
          <w:bCs/>
          <w:szCs w:val="20"/>
          <w:lang w:val="et-EE"/>
        </w:rPr>
      </w:pPr>
    </w:p>
    <w:p w14:paraId="3F111E97" w14:textId="0462EAAE" w:rsidR="00E735E3" w:rsidRPr="005F32DE" w:rsidRDefault="00E735E3" w:rsidP="00004326">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eastAsia="Trebuchet MS" w:hAnsi="Trebuchet MS"/>
          <w:b/>
          <w:bCs/>
          <w:sz w:val="20"/>
          <w:szCs w:val="20"/>
        </w:rPr>
      </w:pPr>
      <w:r w:rsidRPr="005F32DE">
        <w:rPr>
          <w:rFonts w:ascii="Trebuchet MS" w:eastAsia="Trebuchet MS" w:hAnsi="Trebuchet MS"/>
          <w:b/>
          <w:bCs/>
          <w:sz w:val="20"/>
          <w:szCs w:val="20"/>
        </w:rPr>
        <w:t>Olulised asj</w:t>
      </w:r>
      <w:r w:rsidR="00EB15CD" w:rsidRPr="005F32DE">
        <w:rPr>
          <w:rFonts w:ascii="Trebuchet MS" w:eastAsia="Trebuchet MS" w:hAnsi="Trebuchet MS"/>
          <w:b/>
          <w:bCs/>
          <w:sz w:val="20"/>
          <w:szCs w:val="20"/>
        </w:rPr>
        <w:t>aolud, mille üle puudub vaidlus</w:t>
      </w:r>
    </w:p>
    <w:p w14:paraId="0ECF63B2" w14:textId="77777777" w:rsidR="00E735E3" w:rsidRPr="005F32DE" w:rsidRDefault="00E735E3" w:rsidP="00004326">
      <w:pPr>
        <w:tabs>
          <w:tab w:val="num" w:pos="709"/>
        </w:tabs>
        <w:autoSpaceDE w:val="0"/>
        <w:autoSpaceDN w:val="0"/>
        <w:adjustRightInd w:val="0"/>
        <w:spacing w:line="276" w:lineRule="auto"/>
        <w:ind w:left="709" w:hanging="709"/>
        <w:jc w:val="both"/>
        <w:rPr>
          <w:rFonts w:eastAsia="Trebuchet MS"/>
          <w:bCs/>
          <w:szCs w:val="20"/>
          <w:lang w:val="et-EE"/>
        </w:rPr>
      </w:pPr>
    </w:p>
    <w:p w14:paraId="42929735" w14:textId="2C4842BA" w:rsidR="00004326" w:rsidRPr="005F32DE" w:rsidRDefault="00E735E3" w:rsidP="00004326">
      <w:pPr>
        <w:numPr>
          <w:ilvl w:val="2"/>
          <w:numId w:val="27"/>
        </w:numPr>
        <w:tabs>
          <w:tab w:val="clear" w:pos="862"/>
          <w:tab w:val="num" w:pos="709"/>
        </w:tabs>
        <w:autoSpaceDE w:val="0"/>
        <w:autoSpaceDN w:val="0"/>
        <w:adjustRightInd w:val="0"/>
        <w:spacing w:line="276" w:lineRule="auto"/>
        <w:ind w:left="709" w:hanging="709"/>
        <w:jc w:val="both"/>
        <w:rPr>
          <w:rFonts w:eastAsia="Trebuchet MS"/>
          <w:bCs/>
          <w:szCs w:val="20"/>
          <w:lang w:val="et-EE"/>
        </w:rPr>
      </w:pPr>
      <w:r w:rsidRPr="005F32DE">
        <w:rPr>
          <w:rFonts w:eastAsia="Trebuchet MS"/>
          <w:bCs/>
          <w:szCs w:val="20"/>
          <w:lang w:val="et-EE"/>
        </w:rPr>
        <w:t>Virtuaal- ja krüptorahade (sh bitcoinide) õigusliku staatusega seonduvat ei ole Eesti ega ka Euroopa Liidu tasandil õigusaktidega reguleeritud, sh puudub bitcoinide määratlus. Seetõttu on kaebaja terminikasutus (bitcoin ku</w:t>
      </w:r>
      <w:r w:rsidR="00056E97" w:rsidRPr="005F32DE">
        <w:rPr>
          <w:rFonts w:eastAsia="Trebuchet MS"/>
          <w:bCs/>
          <w:szCs w:val="20"/>
          <w:lang w:val="et-EE"/>
        </w:rPr>
        <w:t>i vi</w:t>
      </w:r>
      <w:r w:rsidR="00DD5E56">
        <w:rPr>
          <w:rFonts w:eastAsia="Trebuchet MS"/>
          <w:bCs/>
          <w:szCs w:val="20"/>
          <w:lang w:val="et-EE"/>
        </w:rPr>
        <w:t xml:space="preserve">rtuaal- ja/või krüptoraha) </w:t>
      </w:r>
      <w:r w:rsidR="00056E97" w:rsidRPr="005F32DE">
        <w:rPr>
          <w:rFonts w:eastAsia="Trebuchet MS"/>
          <w:bCs/>
          <w:szCs w:val="20"/>
          <w:lang w:val="et-EE"/>
        </w:rPr>
        <w:t>tinglik</w:t>
      </w:r>
      <w:r w:rsidRPr="005F32DE">
        <w:rPr>
          <w:rFonts w:eastAsia="Trebuchet MS"/>
          <w:bCs/>
          <w:szCs w:val="20"/>
          <w:lang w:val="et-EE"/>
        </w:rPr>
        <w:t xml:space="preserve">.  </w:t>
      </w:r>
    </w:p>
    <w:p w14:paraId="2F4B18C8" w14:textId="77777777" w:rsidR="00004326" w:rsidRPr="005F32DE" w:rsidRDefault="00004326" w:rsidP="00004326">
      <w:pPr>
        <w:autoSpaceDE w:val="0"/>
        <w:autoSpaceDN w:val="0"/>
        <w:adjustRightInd w:val="0"/>
        <w:spacing w:line="276" w:lineRule="auto"/>
        <w:ind w:left="142"/>
        <w:jc w:val="both"/>
        <w:rPr>
          <w:rFonts w:eastAsia="Trebuchet MS"/>
          <w:bCs/>
          <w:szCs w:val="20"/>
          <w:lang w:val="et-EE"/>
        </w:rPr>
      </w:pPr>
    </w:p>
    <w:p w14:paraId="02EBA29C" w14:textId="5F74C778" w:rsidR="00004326" w:rsidRPr="005F32DE" w:rsidRDefault="00E735E3" w:rsidP="005D7C8C">
      <w:pPr>
        <w:numPr>
          <w:ilvl w:val="2"/>
          <w:numId w:val="27"/>
        </w:numPr>
        <w:tabs>
          <w:tab w:val="clear" w:pos="862"/>
          <w:tab w:val="num" w:pos="709"/>
        </w:tabs>
        <w:autoSpaceDE w:val="0"/>
        <w:autoSpaceDN w:val="0"/>
        <w:adjustRightInd w:val="0"/>
        <w:spacing w:line="276" w:lineRule="auto"/>
        <w:ind w:left="709" w:hanging="709"/>
        <w:jc w:val="both"/>
        <w:rPr>
          <w:rFonts w:eastAsia="Trebuchet MS"/>
          <w:bCs/>
          <w:szCs w:val="20"/>
          <w:lang w:val="et-EE"/>
        </w:rPr>
      </w:pPr>
      <w:r w:rsidRPr="005F32DE">
        <w:rPr>
          <w:rFonts w:eastAsia="Trebuchet MS"/>
          <w:bCs/>
          <w:szCs w:val="20"/>
          <w:lang w:val="et-EE"/>
        </w:rPr>
        <w:t xml:space="preserve">Nii Euroopa Keskpank oma 2012. a oktoobrikuises raportis kui ka Eesti Pank </w:t>
      </w:r>
      <w:r w:rsidR="005D7C8C" w:rsidRPr="005F32DE">
        <w:rPr>
          <w:rFonts w:eastAsia="Trebuchet MS"/>
          <w:bCs/>
          <w:szCs w:val="20"/>
          <w:lang w:val="et-EE"/>
        </w:rPr>
        <w:t>massi</w:t>
      </w:r>
      <w:r w:rsidRPr="005F32DE">
        <w:rPr>
          <w:rFonts w:eastAsia="Trebuchet MS"/>
          <w:bCs/>
          <w:szCs w:val="20"/>
          <w:lang w:val="et-EE"/>
        </w:rPr>
        <w:t>meedia vahendusel alates 2013. a detsembrist</w:t>
      </w:r>
      <w:r w:rsidR="00DD5E56">
        <w:rPr>
          <w:rFonts w:eastAsia="Trebuchet MS"/>
          <w:bCs/>
          <w:szCs w:val="20"/>
          <w:lang w:val="et-EE"/>
        </w:rPr>
        <w:t xml:space="preserve"> on rõhutanud</w:t>
      </w:r>
      <w:r w:rsidRPr="005F32DE">
        <w:rPr>
          <w:rFonts w:eastAsia="Trebuchet MS"/>
          <w:bCs/>
          <w:szCs w:val="20"/>
          <w:lang w:val="et-EE"/>
        </w:rPr>
        <w:t>, et</w:t>
      </w:r>
      <w:r w:rsidRPr="005F32DE">
        <w:rPr>
          <w:rFonts w:eastAsia="Trebuchet MS" w:cs="Arial"/>
          <w:szCs w:val="20"/>
          <w:shd w:val="clear" w:color="auto" w:fill="FFFFFF"/>
          <w:lang w:val="et-EE"/>
        </w:rPr>
        <w:t xml:space="preserve"> virtuaalraha süsteemide näol on tegemist valdkonnaga, mis on siiani seadusandluses reguleerimata ja mille üle ei teosta järelevalvet ükski asutus (vt kaebuse p-d 2.2.7 ja 2.2.8).</w:t>
      </w:r>
    </w:p>
    <w:p w14:paraId="7182BC52" w14:textId="77777777" w:rsidR="00004326" w:rsidRPr="005F32DE" w:rsidRDefault="00004326" w:rsidP="005D7C8C">
      <w:pPr>
        <w:pStyle w:val="ListParagraph"/>
        <w:spacing w:line="276" w:lineRule="auto"/>
        <w:contextualSpacing w:val="0"/>
        <w:rPr>
          <w:rFonts w:ascii="Trebuchet MS" w:eastAsia="Trebuchet MS" w:hAnsi="Trebuchet MS"/>
          <w:bCs/>
          <w:sz w:val="20"/>
          <w:szCs w:val="20"/>
        </w:rPr>
      </w:pPr>
    </w:p>
    <w:p w14:paraId="787666A9" w14:textId="77777777" w:rsidR="00E972B0" w:rsidRDefault="005D7C8C" w:rsidP="00E972B0">
      <w:pPr>
        <w:pStyle w:val="ListParagraph"/>
        <w:numPr>
          <w:ilvl w:val="2"/>
          <w:numId w:val="27"/>
        </w:numPr>
        <w:tabs>
          <w:tab w:val="clear" w:pos="862"/>
          <w:tab w:val="num" w:pos="709"/>
        </w:tabs>
        <w:spacing w:line="276" w:lineRule="auto"/>
        <w:ind w:left="709" w:hanging="709"/>
        <w:contextualSpacing w:val="0"/>
        <w:rPr>
          <w:rFonts w:ascii="Trebuchet MS" w:eastAsia="Trebuchet MS" w:hAnsi="Trebuchet MS"/>
          <w:bCs/>
          <w:sz w:val="20"/>
          <w:szCs w:val="20"/>
        </w:rPr>
      </w:pPr>
      <w:r w:rsidRPr="005F32DE">
        <w:rPr>
          <w:rFonts w:ascii="Trebuchet MS" w:eastAsia="Trebuchet MS" w:hAnsi="Trebuchet MS"/>
          <w:bCs/>
          <w:sz w:val="20"/>
          <w:szCs w:val="20"/>
        </w:rPr>
        <w:t>Ettekirjutuses viidatakse õigusliku alusena muuhulgas RahaPTS § 6 lg 2 p-le 4, § 6 lg-le 4 ja § 48 lg-le 3. RahaPTS § 6 lg 2 p 4 ja lg 4 on EL õigusega seotud sätted.</w:t>
      </w:r>
    </w:p>
    <w:p w14:paraId="4160D3D9" w14:textId="77777777" w:rsidR="00E972B0" w:rsidRPr="00E972B0" w:rsidRDefault="00E972B0" w:rsidP="00E972B0">
      <w:pPr>
        <w:pStyle w:val="ListParagraph"/>
        <w:rPr>
          <w:rFonts w:ascii="Trebuchet MS" w:eastAsia="Trebuchet MS" w:hAnsi="Trebuchet MS"/>
          <w:bCs/>
          <w:sz w:val="20"/>
          <w:szCs w:val="20"/>
        </w:rPr>
      </w:pPr>
    </w:p>
    <w:p w14:paraId="582939E4" w14:textId="2E68CDC6" w:rsidR="00004326" w:rsidRPr="00E972B0" w:rsidRDefault="00E972B0" w:rsidP="00E972B0">
      <w:pPr>
        <w:pStyle w:val="ListParagraph"/>
        <w:numPr>
          <w:ilvl w:val="2"/>
          <w:numId w:val="27"/>
        </w:numPr>
        <w:tabs>
          <w:tab w:val="clear" w:pos="862"/>
          <w:tab w:val="num" w:pos="709"/>
        </w:tabs>
        <w:spacing w:line="276" w:lineRule="auto"/>
        <w:ind w:left="709" w:hanging="709"/>
        <w:contextualSpacing w:val="0"/>
        <w:rPr>
          <w:rFonts w:ascii="Trebuchet MS" w:eastAsia="Trebuchet MS" w:hAnsi="Trebuchet MS"/>
          <w:bCs/>
          <w:sz w:val="20"/>
          <w:szCs w:val="20"/>
        </w:rPr>
      </w:pPr>
      <w:r w:rsidRPr="00E972B0">
        <w:rPr>
          <w:rFonts w:ascii="Trebuchet MS" w:eastAsia="Trebuchet MS" w:hAnsi="Trebuchet MS"/>
          <w:bCs/>
          <w:sz w:val="20"/>
          <w:szCs w:val="20"/>
        </w:rPr>
        <w:t>Euroopa Parlamendi ja Nõukogu direktiiv 2005/60/EÜ rahandussüsteemi rahapesu ning terrorismi rahastamise eesmä</w:t>
      </w:r>
      <w:r>
        <w:rPr>
          <w:rFonts w:ascii="Trebuchet MS" w:eastAsia="Trebuchet MS" w:hAnsi="Trebuchet MS"/>
          <w:bCs/>
          <w:sz w:val="20"/>
          <w:szCs w:val="20"/>
        </w:rPr>
        <w:t xml:space="preserve">rgil kasutamise vältimise kohta (edaspidi </w:t>
      </w:r>
      <w:r w:rsidRPr="00E972B0">
        <w:rPr>
          <w:rFonts w:ascii="Trebuchet MS" w:eastAsia="Trebuchet MS" w:hAnsi="Trebuchet MS"/>
          <w:b/>
          <w:bCs/>
          <w:sz w:val="20"/>
          <w:szCs w:val="20"/>
        </w:rPr>
        <w:t>III direktiiv</w:t>
      </w:r>
      <w:r>
        <w:rPr>
          <w:rFonts w:ascii="Trebuchet MS" w:eastAsia="Trebuchet MS" w:hAnsi="Trebuchet MS"/>
          <w:bCs/>
          <w:sz w:val="20"/>
          <w:szCs w:val="20"/>
        </w:rPr>
        <w:t>) ei käsitle</w:t>
      </w:r>
      <w:r w:rsidR="00E735E3" w:rsidRPr="00E972B0">
        <w:rPr>
          <w:rFonts w:ascii="Trebuchet MS" w:eastAsia="Trebuchet MS" w:hAnsi="Trebuchet MS"/>
          <w:bCs/>
          <w:sz w:val="20"/>
          <w:szCs w:val="20"/>
        </w:rPr>
        <w:t xml:space="preserve"> finantseerimisasutusena alternatiivse maksevahendi teenuse pakkujat ning III direktiivis puudub alternatiivse maksevahendi teenuse pakkuja definitsioon.</w:t>
      </w:r>
    </w:p>
    <w:p w14:paraId="26D22970" w14:textId="77777777" w:rsidR="00004326" w:rsidRPr="00E972B0" w:rsidRDefault="00004326" w:rsidP="00004326">
      <w:pPr>
        <w:pStyle w:val="ListParagraph"/>
        <w:rPr>
          <w:rFonts w:ascii="Trebuchet MS" w:eastAsia="Trebuchet MS" w:hAnsi="Trebuchet MS"/>
          <w:color w:val="000000"/>
          <w:sz w:val="20"/>
          <w:szCs w:val="20"/>
        </w:rPr>
      </w:pPr>
    </w:p>
    <w:p w14:paraId="5A589513" w14:textId="73108529" w:rsidR="00004326" w:rsidRPr="005F32DE" w:rsidRDefault="00E735E3" w:rsidP="00004326">
      <w:pPr>
        <w:numPr>
          <w:ilvl w:val="2"/>
          <w:numId w:val="27"/>
        </w:numPr>
        <w:tabs>
          <w:tab w:val="clear" w:pos="862"/>
          <w:tab w:val="num" w:pos="709"/>
        </w:tabs>
        <w:autoSpaceDE w:val="0"/>
        <w:autoSpaceDN w:val="0"/>
        <w:adjustRightInd w:val="0"/>
        <w:spacing w:line="276" w:lineRule="auto"/>
        <w:ind w:left="709" w:hanging="709"/>
        <w:jc w:val="both"/>
        <w:rPr>
          <w:rFonts w:eastAsia="Trebuchet MS"/>
          <w:bCs/>
          <w:szCs w:val="20"/>
          <w:lang w:val="et-EE"/>
        </w:rPr>
      </w:pPr>
      <w:r w:rsidRPr="005F32DE">
        <w:rPr>
          <w:rFonts w:eastAsia="Trebuchet MS"/>
          <w:color w:val="000000"/>
          <w:szCs w:val="20"/>
          <w:lang w:val="et-EE"/>
        </w:rPr>
        <w:t xml:space="preserve">RahaPTS ei </w:t>
      </w:r>
      <w:r w:rsidR="00DD5E56">
        <w:rPr>
          <w:rFonts w:eastAsia="Trebuchet MS"/>
          <w:color w:val="000000"/>
          <w:szCs w:val="20"/>
          <w:lang w:val="et-EE"/>
        </w:rPr>
        <w:t xml:space="preserve">defineeri ega kasuta </w:t>
      </w:r>
      <w:r w:rsidRPr="005F32DE">
        <w:rPr>
          <w:rFonts w:eastAsia="Trebuchet MS"/>
          <w:color w:val="000000"/>
          <w:szCs w:val="20"/>
          <w:lang w:val="et-EE"/>
        </w:rPr>
        <w:t>mõisteid „bitcoin“, „detsentraliseeritud digitaalne käibevahend“, „kr</w:t>
      </w:r>
      <w:r w:rsidR="005D5809">
        <w:rPr>
          <w:rFonts w:eastAsia="Trebuchet MS"/>
          <w:color w:val="000000"/>
          <w:szCs w:val="20"/>
          <w:lang w:val="et-EE"/>
        </w:rPr>
        <w:t xml:space="preserve">üptoraha“, </w:t>
      </w:r>
      <w:r w:rsidRPr="005F32DE">
        <w:rPr>
          <w:rFonts w:eastAsia="Trebuchet MS"/>
          <w:color w:val="000000"/>
          <w:szCs w:val="20"/>
          <w:lang w:val="et-EE"/>
        </w:rPr>
        <w:t>„virtuaalraha“</w:t>
      </w:r>
      <w:r w:rsidR="005D5809">
        <w:rPr>
          <w:rFonts w:eastAsia="Trebuchet MS"/>
          <w:color w:val="000000"/>
          <w:szCs w:val="20"/>
          <w:lang w:val="et-EE"/>
        </w:rPr>
        <w:t xml:space="preserve"> ja „virtuaalne valuuta“</w:t>
      </w:r>
      <w:r w:rsidRPr="005F32DE">
        <w:rPr>
          <w:rFonts w:eastAsia="Trebuchet MS"/>
          <w:color w:val="000000"/>
          <w:szCs w:val="20"/>
          <w:lang w:val="et-EE"/>
        </w:rPr>
        <w:t>.</w:t>
      </w:r>
    </w:p>
    <w:p w14:paraId="450AAF5E" w14:textId="77777777" w:rsidR="00004326" w:rsidRPr="005F32DE" w:rsidRDefault="00004326" w:rsidP="00004326">
      <w:pPr>
        <w:pStyle w:val="ListParagraph"/>
        <w:rPr>
          <w:rFonts w:ascii="Trebuchet MS" w:eastAsia="Trebuchet MS" w:hAnsi="Trebuchet MS"/>
          <w:color w:val="000000"/>
          <w:sz w:val="20"/>
          <w:szCs w:val="20"/>
        </w:rPr>
      </w:pPr>
    </w:p>
    <w:p w14:paraId="43E7D9FC" w14:textId="1204605A" w:rsidR="006D3F21" w:rsidRPr="005F32DE" w:rsidRDefault="00E735E3" w:rsidP="006D3F21">
      <w:pPr>
        <w:numPr>
          <w:ilvl w:val="2"/>
          <w:numId w:val="27"/>
        </w:numPr>
        <w:tabs>
          <w:tab w:val="clear" w:pos="862"/>
          <w:tab w:val="num" w:pos="709"/>
        </w:tabs>
        <w:autoSpaceDE w:val="0"/>
        <w:autoSpaceDN w:val="0"/>
        <w:adjustRightInd w:val="0"/>
        <w:spacing w:line="276" w:lineRule="auto"/>
        <w:ind w:left="709" w:hanging="709"/>
        <w:jc w:val="both"/>
        <w:rPr>
          <w:rFonts w:eastAsia="Trebuchet MS"/>
          <w:bCs/>
          <w:szCs w:val="20"/>
          <w:lang w:val="et-EE"/>
        </w:rPr>
      </w:pPr>
      <w:r w:rsidRPr="005F32DE">
        <w:rPr>
          <w:rFonts w:eastAsia="Trebuchet MS"/>
          <w:color w:val="000000"/>
          <w:szCs w:val="20"/>
          <w:lang w:val="et-EE"/>
        </w:rPr>
        <w:t xml:space="preserve">RAB ega ükski teine Eesti ja Euroopa Liidu asjassepuutuv asutus ei ole </w:t>
      </w:r>
      <w:r w:rsidRPr="005F32DE">
        <w:rPr>
          <w:rFonts w:eastAsia="Trebuchet MS"/>
          <w:bCs/>
          <w:szCs w:val="20"/>
          <w:lang w:val="et-EE"/>
        </w:rPr>
        <w:t xml:space="preserve">avaldanud mitte ühtegi juhendit bitcoinide või tervikuna virtuaalrahade kohta. Seejuures väärib märkimist, et isegi tänaseks pole RAB seda teinud, v.a mõned intervjuud massimeedias ning needki alles alates 21.02.2014 (vt kaebaja 10.06.2014 arvamuse p 3.3.4; </w:t>
      </w:r>
      <w:r w:rsidR="00056E97" w:rsidRPr="005F32DE">
        <w:rPr>
          <w:rFonts w:eastAsia="Trebuchet MS"/>
          <w:bCs/>
          <w:szCs w:val="20"/>
          <w:lang w:val="et-EE"/>
        </w:rPr>
        <w:t>halduskohtu kohtu</w:t>
      </w:r>
      <w:r w:rsidRPr="005F32DE">
        <w:rPr>
          <w:rFonts w:eastAsia="Trebuchet MS"/>
          <w:bCs/>
          <w:szCs w:val="20"/>
          <w:lang w:val="et-EE"/>
        </w:rPr>
        <w:t>istungi protokolli lk 4, kell 10:59:10).</w:t>
      </w:r>
    </w:p>
    <w:p w14:paraId="60EBCA14" w14:textId="77777777" w:rsidR="006D3F21" w:rsidRPr="005F32DE" w:rsidRDefault="006D3F21" w:rsidP="006D3F21">
      <w:pPr>
        <w:pStyle w:val="ListParagraph"/>
        <w:rPr>
          <w:rFonts w:eastAsia="Trebuchet MS"/>
          <w:bCs/>
          <w:szCs w:val="20"/>
        </w:rPr>
      </w:pPr>
    </w:p>
    <w:p w14:paraId="77A503E5" w14:textId="598E3BB2" w:rsidR="006D3F21" w:rsidRPr="005F32DE" w:rsidRDefault="006D3F21" w:rsidP="006D3F21">
      <w:pPr>
        <w:numPr>
          <w:ilvl w:val="2"/>
          <w:numId w:val="27"/>
        </w:numPr>
        <w:tabs>
          <w:tab w:val="clear" w:pos="862"/>
          <w:tab w:val="num" w:pos="709"/>
        </w:tabs>
        <w:autoSpaceDE w:val="0"/>
        <w:autoSpaceDN w:val="0"/>
        <w:adjustRightInd w:val="0"/>
        <w:spacing w:line="276" w:lineRule="auto"/>
        <w:ind w:left="709" w:hanging="709"/>
        <w:jc w:val="both"/>
        <w:rPr>
          <w:rFonts w:eastAsia="Trebuchet MS"/>
          <w:bCs/>
          <w:szCs w:val="20"/>
          <w:lang w:val="et-EE"/>
        </w:rPr>
      </w:pPr>
      <w:r w:rsidRPr="005F32DE">
        <w:rPr>
          <w:rFonts w:eastAsia="Trebuchet MS"/>
          <w:bCs/>
          <w:szCs w:val="20"/>
          <w:lang w:val="et-EE"/>
        </w:rPr>
        <w:t>Kaebaja on registreerinud Eesti Interneti Sihtasutuses Eesti maatunnusega domeeninime btc.ee 27.04.2011 ning kaebaja veebileht on majutatud serveris, mis ei asu Eesti Vabariigi territooriumil.</w:t>
      </w:r>
    </w:p>
    <w:p w14:paraId="0473CF78" w14:textId="77777777" w:rsidR="004147D4" w:rsidRPr="005F32DE" w:rsidRDefault="004147D4" w:rsidP="004147D4">
      <w:pPr>
        <w:pStyle w:val="ListParagraph"/>
        <w:spacing w:line="276" w:lineRule="auto"/>
        <w:contextualSpacing w:val="0"/>
        <w:rPr>
          <w:rFonts w:ascii="Trebuchet MS" w:eastAsia="Trebuchet MS" w:hAnsi="Trebuchet MS"/>
          <w:bCs/>
          <w:sz w:val="20"/>
          <w:szCs w:val="20"/>
        </w:rPr>
      </w:pPr>
    </w:p>
    <w:p w14:paraId="4DFD2F85" w14:textId="682851EC" w:rsidR="002F6E44" w:rsidRPr="005F32DE" w:rsidRDefault="00A74A75" w:rsidP="002F6E44">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eastAsia="Trebuchet MS" w:hAnsi="Trebuchet MS"/>
          <w:b/>
          <w:bCs/>
          <w:sz w:val="20"/>
          <w:szCs w:val="20"/>
        </w:rPr>
      </w:pPr>
      <w:r w:rsidRPr="005F32DE">
        <w:rPr>
          <w:rFonts w:ascii="Trebuchet MS" w:eastAsia="Trebuchet MS" w:hAnsi="Trebuchet MS"/>
          <w:bCs/>
          <w:sz w:val="20"/>
          <w:szCs w:val="20"/>
        </w:rPr>
        <w:t xml:space="preserve">Kaebaja leiab, et esinevad halduskohtumenetluse seadustiku (edaspidi </w:t>
      </w:r>
      <w:r w:rsidRPr="005F32DE">
        <w:rPr>
          <w:rFonts w:ascii="Trebuchet MS" w:eastAsia="Trebuchet MS" w:hAnsi="Trebuchet MS"/>
          <w:b/>
          <w:bCs/>
          <w:sz w:val="20"/>
          <w:szCs w:val="20"/>
        </w:rPr>
        <w:t>HKMS</w:t>
      </w:r>
      <w:r w:rsidRPr="005F32DE">
        <w:rPr>
          <w:rFonts w:ascii="Trebuchet MS" w:eastAsia="Trebuchet MS" w:hAnsi="Trebuchet MS"/>
          <w:bCs/>
          <w:sz w:val="20"/>
          <w:szCs w:val="20"/>
        </w:rPr>
        <w:t>) § 219 lg 3 p-</w:t>
      </w:r>
      <w:r w:rsidR="002F6E44" w:rsidRPr="005F32DE">
        <w:rPr>
          <w:rFonts w:ascii="Trebuchet MS" w:eastAsia="Trebuchet MS" w:hAnsi="Trebuchet MS"/>
          <w:bCs/>
          <w:sz w:val="20"/>
          <w:szCs w:val="20"/>
        </w:rPr>
        <w:t>de</w:t>
      </w:r>
      <w:r w:rsidRPr="005F32DE">
        <w:rPr>
          <w:rFonts w:ascii="Trebuchet MS" w:eastAsia="Trebuchet MS" w:hAnsi="Trebuchet MS"/>
          <w:bCs/>
          <w:sz w:val="20"/>
          <w:szCs w:val="20"/>
        </w:rPr>
        <w:t>s 1</w:t>
      </w:r>
      <w:r w:rsidR="002F6E44" w:rsidRPr="005F32DE">
        <w:rPr>
          <w:rFonts w:ascii="Trebuchet MS" w:eastAsia="Trebuchet MS" w:hAnsi="Trebuchet MS"/>
          <w:bCs/>
          <w:sz w:val="20"/>
          <w:szCs w:val="20"/>
        </w:rPr>
        <w:t xml:space="preserve"> ja 2</w:t>
      </w:r>
      <w:r w:rsidRPr="005F32DE">
        <w:rPr>
          <w:rFonts w:ascii="Trebuchet MS" w:eastAsia="Trebuchet MS" w:hAnsi="Trebuchet MS"/>
          <w:bCs/>
          <w:sz w:val="20"/>
          <w:szCs w:val="20"/>
        </w:rPr>
        <w:t xml:space="preserve"> sätestatud alused kassatsioonkaebuse menetlusse võtmiseks, sest</w:t>
      </w:r>
      <w:r w:rsidR="002F6E44" w:rsidRPr="005F32DE">
        <w:rPr>
          <w:rFonts w:ascii="Trebuchet MS" w:eastAsia="Trebuchet MS" w:hAnsi="Trebuchet MS"/>
          <w:bCs/>
          <w:sz w:val="20"/>
          <w:szCs w:val="20"/>
        </w:rPr>
        <w:t>:</w:t>
      </w:r>
      <w:r w:rsidRPr="005F32DE">
        <w:rPr>
          <w:rFonts w:ascii="Trebuchet MS" w:eastAsia="Trebuchet MS" w:hAnsi="Trebuchet MS"/>
          <w:bCs/>
          <w:sz w:val="20"/>
          <w:szCs w:val="20"/>
        </w:rPr>
        <w:t xml:space="preserve"> </w:t>
      </w:r>
    </w:p>
    <w:p w14:paraId="129A786D" w14:textId="77777777" w:rsidR="002F6A20" w:rsidRPr="002F6A20" w:rsidRDefault="002F6A20" w:rsidP="002F6A20">
      <w:pPr>
        <w:tabs>
          <w:tab w:val="num" w:pos="709"/>
        </w:tabs>
        <w:autoSpaceDE w:val="0"/>
        <w:autoSpaceDN w:val="0"/>
        <w:adjustRightInd w:val="0"/>
        <w:spacing w:line="276" w:lineRule="auto"/>
        <w:ind w:left="142"/>
        <w:rPr>
          <w:rFonts w:eastAsia="Trebuchet MS"/>
          <w:b/>
          <w:bCs/>
          <w:szCs w:val="20"/>
        </w:rPr>
      </w:pPr>
    </w:p>
    <w:p w14:paraId="564732C7" w14:textId="229F274D" w:rsidR="004147D4" w:rsidRPr="005F32DE" w:rsidRDefault="00A74A75" w:rsidP="002F6E44">
      <w:pPr>
        <w:pStyle w:val="ListParagraph"/>
        <w:numPr>
          <w:ilvl w:val="2"/>
          <w:numId w:val="27"/>
        </w:numPr>
        <w:tabs>
          <w:tab w:val="clear" w:pos="862"/>
          <w:tab w:val="num" w:pos="709"/>
        </w:tabs>
        <w:autoSpaceDE w:val="0"/>
        <w:autoSpaceDN w:val="0"/>
        <w:adjustRightInd w:val="0"/>
        <w:spacing w:line="276" w:lineRule="auto"/>
        <w:ind w:left="709" w:hanging="709"/>
        <w:contextualSpacing w:val="0"/>
        <w:rPr>
          <w:rFonts w:ascii="Trebuchet MS" w:eastAsia="Trebuchet MS" w:hAnsi="Trebuchet MS"/>
          <w:b/>
          <w:bCs/>
          <w:sz w:val="20"/>
          <w:szCs w:val="20"/>
        </w:rPr>
      </w:pPr>
      <w:r w:rsidRPr="005F32DE">
        <w:rPr>
          <w:rFonts w:ascii="Trebuchet MS" w:eastAsia="Trebuchet MS" w:hAnsi="Trebuchet MS"/>
          <w:b/>
          <w:bCs/>
          <w:sz w:val="20"/>
          <w:szCs w:val="20"/>
        </w:rPr>
        <w:t>Tallinna Ringkonnakohus on otsuse tegemisel kohaldanud ebaõigesti materiaalõiguse normi</w:t>
      </w:r>
      <w:r w:rsidR="00392B61">
        <w:rPr>
          <w:rFonts w:ascii="Trebuchet MS" w:eastAsia="Trebuchet MS" w:hAnsi="Trebuchet MS"/>
          <w:b/>
          <w:bCs/>
          <w:sz w:val="20"/>
          <w:szCs w:val="20"/>
        </w:rPr>
        <w:t xml:space="preserve"> (RahaPTS § 6 lg 2 p 4 ja lg 4)</w:t>
      </w:r>
      <w:r w:rsidRPr="005F32DE">
        <w:rPr>
          <w:rFonts w:ascii="Trebuchet MS" w:eastAsia="Trebuchet MS" w:hAnsi="Trebuchet MS"/>
          <w:b/>
          <w:bCs/>
          <w:sz w:val="20"/>
          <w:szCs w:val="20"/>
        </w:rPr>
        <w:t xml:space="preserve"> </w:t>
      </w:r>
      <w:r w:rsidR="002F6E44" w:rsidRPr="005F32DE">
        <w:rPr>
          <w:rFonts w:ascii="Trebuchet MS" w:eastAsia="Trebuchet MS" w:hAnsi="Trebuchet MS"/>
          <w:b/>
          <w:bCs/>
          <w:sz w:val="20"/>
          <w:szCs w:val="20"/>
        </w:rPr>
        <w:t xml:space="preserve">- </w:t>
      </w:r>
      <w:r w:rsidR="002C1F2C" w:rsidRPr="005F32DE">
        <w:rPr>
          <w:rFonts w:ascii="Trebuchet MS" w:eastAsia="Trebuchet MS" w:hAnsi="Trebuchet MS"/>
          <w:bCs/>
          <w:sz w:val="20"/>
          <w:szCs w:val="20"/>
        </w:rPr>
        <w:t xml:space="preserve">RAB ei saa kaebaja suhtes RahaPTS alusel ettekirjutust teha ehk riikliku sundi kohaldada, kuna RahaPTS ei anna RAB-le pädevust </w:t>
      </w:r>
      <w:r w:rsidR="00C25963">
        <w:rPr>
          <w:rFonts w:ascii="Trebuchet MS" w:eastAsia="Trebuchet MS" w:hAnsi="Trebuchet MS"/>
          <w:bCs/>
          <w:sz w:val="20"/>
          <w:szCs w:val="20"/>
        </w:rPr>
        <w:t xml:space="preserve">nn krüptoraha (sh </w:t>
      </w:r>
      <w:r w:rsidR="002C1F2C" w:rsidRPr="005F32DE">
        <w:rPr>
          <w:rFonts w:ascii="Trebuchet MS" w:eastAsia="Trebuchet MS" w:hAnsi="Trebuchet MS"/>
          <w:bCs/>
          <w:sz w:val="20"/>
          <w:szCs w:val="20"/>
        </w:rPr>
        <w:t>bitcoine</w:t>
      </w:r>
      <w:r w:rsidR="00C25963">
        <w:rPr>
          <w:rFonts w:ascii="Trebuchet MS" w:eastAsia="Trebuchet MS" w:hAnsi="Trebuchet MS"/>
          <w:bCs/>
          <w:sz w:val="20"/>
          <w:szCs w:val="20"/>
        </w:rPr>
        <w:t>)</w:t>
      </w:r>
      <w:r w:rsidR="002C1F2C" w:rsidRPr="005F32DE">
        <w:rPr>
          <w:rFonts w:ascii="Trebuchet MS" w:eastAsia="Trebuchet MS" w:hAnsi="Trebuchet MS"/>
          <w:bCs/>
          <w:sz w:val="20"/>
          <w:szCs w:val="20"/>
        </w:rPr>
        <w:t xml:space="preserve"> ostvate ja müüvate isikute suhtes riikliku järelevalve teostamiseks, st tegemist ei ole RahaPTS regulatsioonile al</w:t>
      </w:r>
      <w:r w:rsidR="00392B61">
        <w:rPr>
          <w:rFonts w:ascii="Trebuchet MS" w:eastAsia="Trebuchet MS" w:hAnsi="Trebuchet MS"/>
          <w:bCs/>
          <w:sz w:val="20"/>
          <w:szCs w:val="20"/>
        </w:rPr>
        <w:t>lutatud kohustatud subjektidega</w:t>
      </w:r>
      <w:r w:rsidR="002C1F2C" w:rsidRPr="005F32DE">
        <w:rPr>
          <w:rFonts w:ascii="Trebuchet MS" w:eastAsia="Trebuchet MS" w:hAnsi="Trebuchet MS"/>
          <w:bCs/>
          <w:sz w:val="20"/>
          <w:szCs w:val="20"/>
        </w:rPr>
        <w:t>.</w:t>
      </w:r>
    </w:p>
    <w:p w14:paraId="4CF11DCF" w14:textId="77777777" w:rsidR="00DD5E56" w:rsidRPr="00DD5E56" w:rsidRDefault="00DD5E56" w:rsidP="00DD5E56">
      <w:pPr>
        <w:tabs>
          <w:tab w:val="num" w:pos="709"/>
        </w:tabs>
        <w:autoSpaceDE w:val="0"/>
        <w:autoSpaceDN w:val="0"/>
        <w:adjustRightInd w:val="0"/>
        <w:spacing w:line="276" w:lineRule="auto"/>
        <w:ind w:left="142"/>
        <w:rPr>
          <w:rFonts w:eastAsia="Trebuchet MS"/>
          <w:bCs/>
          <w:szCs w:val="20"/>
        </w:rPr>
      </w:pPr>
    </w:p>
    <w:p w14:paraId="5628ABEE" w14:textId="77777777" w:rsidR="006B1CA3" w:rsidRPr="006B1CA3" w:rsidRDefault="00574F16" w:rsidP="002F6E44">
      <w:pPr>
        <w:pStyle w:val="ListParagraph"/>
        <w:numPr>
          <w:ilvl w:val="2"/>
          <w:numId w:val="27"/>
        </w:numPr>
        <w:tabs>
          <w:tab w:val="clear" w:pos="862"/>
          <w:tab w:val="num" w:pos="709"/>
        </w:tabs>
        <w:autoSpaceDE w:val="0"/>
        <w:autoSpaceDN w:val="0"/>
        <w:adjustRightInd w:val="0"/>
        <w:spacing w:line="276" w:lineRule="auto"/>
        <w:ind w:left="709" w:hanging="709"/>
        <w:contextualSpacing w:val="0"/>
        <w:rPr>
          <w:rFonts w:ascii="Trebuchet MS" w:eastAsia="Trebuchet MS" w:hAnsi="Trebuchet MS"/>
          <w:bCs/>
          <w:sz w:val="20"/>
          <w:szCs w:val="20"/>
        </w:rPr>
      </w:pPr>
      <w:r w:rsidRPr="002860C1">
        <w:rPr>
          <w:rFonts w:ascii="Trebuchet MS" w:eastAsia="Trebuchet MS" w:hAnsi="Trebuchet MS"/>
          <w:b/>
          <w:bCs/>
          <w:sz w:val="20"/>
          <w:szCs w:val="20"/>
        </w:rPr>
        <w:t>K</w:t>
      </w:r>
      <w:r w:rsidR="002F6E44" w:rsidRPr="002860C1">
        <w:rPr>
          <w:rFonts w:ascii="Trebuchet MS" w:eastAsia="Trebuchet MS" w:hAnsi="Trebuchet MS"/>
          <w:b/>
          <w:bCs/>
          <w:sz w:val="20"/>
          <w:szCs w:val="20"/>
        </w:rPr>
        <w:t>assatsioonkaebuse lahendamisel on põhimõtteline tähen</w:t>
      </w:r>
      <w:r w:rsidR="00C25963" w:rsidRPr="002860C1">
        <w:rPr>
          <w:rFonts w:ascii="Trebuchet MS" w:eastAsia="Trebuchet MS" w:hAnsi="Trebuchet MS"/>
          <w:b/>
          <w:bCs/>
          <w:sz w:val="20"/>
          <w:szCs w:val="20"/>
        </w:rPr>
        <w:t>dus õiguskindluse tagamiseks ja</w:t>
      </w:r>
      <w:r w:rsidR="002F6E44" w:rsidRPr="002860C1">
        <w:rPr>
          <w:rFonts w:ascii="Trebuchet MS" w:eastAsia="Trebuchet MS" w:hAnsi="Trebuchet MS"/>
          <w:b/>
          <w:bCs/>
          <w:sz w:val="20"/>
          <w:szCs w:val="20"/>
        </w:rPr>
        <w:t xml:space="preserve"> ühtse kohtupraktika kujundamiseks</w:t>
      </w:r>
      <w:r w:rsidRPr="006B1CA3">
        <w:rPr>
          <w:rFonts w:ascii="Trebuchet MS" w:eastAsia="Trebuchet MS" w:hAnsi="Trebuchet MS"/>
          <w:bCs/>
          <w:sz w:val="20"/>
          <w:szCs w:val="20"/>
        </w:rPr>
        <w:t>, sest</w:t>
      </w:r>
      <w:r w:rsidR="006B1CA3" w:rsidRPr="006B1CA3">
        <w:rPr>
          <w:rFonts w:ascii="Trebuchet MS" w:eastAsia="Trebuchet MS" w:hAnsi="Trebuchet MS"/>
          <w:bCs/>
          <w:sz w:val="20"/>
          <w:szCs w:val="20"/>
        </w:rPr>
        <w:t>:</w:t>
      </w:r>
      <w:r w:rsidRPr="006B1CA3">
        <w:rPr>
          <w:rFonts w:ascii="Trebuchet MS" w:eastAsia="Trebuchet MS" w:hAnsi="Trebuchet MS"/>
          <w:bCs/>
          <w:sz w:val="20"/>
          <w:szCs w:val="20"/>
        </w:rPr>
        <w:t xml:space="preserve"> </w:t>
      </w:r>
    </w:p>
    <w:p w14:paraId="2FA25BBB" w14:textId="77777777" w:rsidR="006B1CA3" w:rsidRDefault="00574F16" w:rsidP="006B1CA3">
      <w:pPr>
        <w:pStyle w:val="ListParagraph"/>
        <w:numPr>
          <w:ilvl w:val="3"/>
          <w:numId w:val="27"/>
        </w:numPr>
        <w:tabs>
          <w:tab w:val="clear" w:pos="720"/>
          <w:tab w:val="num" w:pos="1418"/>
        </w:tabs>
        <w:autoSpaceDE w:val="0"/>
        <w:autoSpaceDN w:val="0"/>
        <w:adjustRightInd w:val="0"/>
        <w:spacing w:line="276" w:lineRule="auto"/>
        <w:ind w:left="1418" w:hanging="709"/>
        <w:rPr>
          <w:rFonts w:ascii="Trebuchet MS" w:eastAsia="Trebuchet MS" w:hAnsi="Trebuchet MS"/>
          <w:bCs/>
          <w:sz w:val="20"/>
          <w:szCs w:val="20"/>
        </w:rPr>
      </w:pPr>
      <w:r w:rsidRPr="006B1CA3">
        <w:rPr>
          <w:rFonts w:ascii="Trebuchet MS" w:eastAsia="Trebuchet MS" w:hAnsi="Trebuchet MS"/>
          <w:bCs/>
          <w:sz w:val="20"/>
          <w:szCs w:val="20"/>
        </w:rPr>
        <w:lastRenderedPageBreak/>
        <w:t xml:space="preserve">virtuaal- ja krüptorahade (sh bitcoinide) õigusliku staatuse ning RahaPTS § 6 lg-s 4 sätestatud alternatiivse maksevahendi olemuse suhtes puudub varasem kohtupraktika nii Eesti Vabariigis kui ka mujal maailmas. </w:t>
      </w:r>
      <w:r w:rsidR="007C1339" w:rsidRPr="006B1CA3">
        <w:rPr>
          <w:rFonts w:ascii="Trebuchet MS" w:eastAsia="Trebuchet MS" w:hAnsi="Trebuchet MS"/>
          <w:bCs/>
          <w:sz w:val="20"/>
          <w:szCs w:val="20"/>
        </w:rPr>
        <w:t xml:space="preserve">Arvestades asjaolu, et Rahandusministeerium on väljatöötamas uut rahapesuvastast seadust, on oluline saada nendes </w:t>
      </w:r>
      <w:r w:rsidR="006B1CA3">
        <w:rPr>
          <w:rFonts w:ascii="Trebuchet MS" w:eastAsia="Trebuchet MS" w:hAnsi="Trebuchet MS"/>
          <w:bCs/>
          <w:sz w:val="20"/>
          <w:szCs w:val="20"/>
        </w:rPr>
        <w:t>küsimustes juhised Riigikohtust;</w:t>
      </w:r>
    </w:p>
    <w:p w14:paraId="67927E76" w14:textId="6395F527" w:rsidR="002F6E44" w:rsidRPr="006B1CA3" w:rsidRDefault="006B1CA3" w:rsidP="006B1CA3">
      <w:pPr>
        <w:pStyle w:val="ListParagraph"/>
        <w:numPr>
          <w:ilvl w:val="3"/>
          <w:numId w:val="27"/>
        </w:numPr>
        <w:tabs>
          <w:tab w:val="clear" w:pos="720"/>
          <w:tab w:val="num" w:pos="1418"/>
        </w:tabs>
        <w:autoSpaceDE w:val="0"/>
        <w:autoSpaceDN w:val="0"/>
        <w:adjustRightInd w:val="0"/>
        <w:spacing w:line="276" w:lineRule="auto"/>
        <w:ind w:left="1418" w:hanging="709"/>
        <w:rPr>
          <w:rFonts w:ascii="Trebuchet MS" w:eastAsia="Trebuchet MS" w:hAnsi="Trebuchet MS"/>
          <w:bCs/>
          <w:sz w:val="20"/>
          <w:szCs w:val="20"/>
        </w:rPr>
      </w:pPr>
      <w:r>
        <w:rPr>
          <w:rFonts w:ascii="Trebuchet MS" w:eastAsia="Trebuchet MS" w:hAnsi="Trebuchet MS"/>
          <w:bCs/>
          <w:sz w:val="20"/>
          <w:szCs w:val="20"/>
        </w:rPr>
        <w:t xml:space="preserve">enese mittesüüstamise privileegi kohaldatavus RahaPTS alusel toimuvas järelevalvemenetluses on Eesti haldus- ja kohtupraktikas läbivaidlemata teema, mistõttu on oluline Riigikohtu tõlgendus.  </w:t>
      </w:r>
      <w:r w:rsidR="007C1339" w:rsidRPr="006B1CA3">
        <w:rPr>
          <w:rFonts w:ascii="Trebuchet MS" w:eastAsia="Trebuchet MS" w:hAnsi="Trebuchet MS"/>
          <w:bCs/>
          <w:sz w:val="20"/>
          <w:szCs w:val="20"/>
        </w:rPr>
        <w:t xml:space="preserve"> </w:t>
      </w:r>
    </w:p>
    <w:p w14:paraId="47031028" w14:textId="77777777" w:rsidR="00004326" w:rsidRPr="006B1CA3" w:rsidRDefault="00004326" w:rsidP="002F6E44">
      <w:pPr>
        <w:pStyle w:val="ListParagraph"/>
        <w:tabs>
          <w:tab w:val="num" w:pos="709"/>
        </w:tabs>
        <w:spacing w:line="276" w:lineRule="auto"/>
        <w:ind w:hanging="709"/>
        <w:contextualSpacing w:val="0"/>
        <w:rPr>
          <w:rFonts w:ascii="Trebuchet MS" w:eastAsia="Trebuchet MS" w:hAnsi="Trebuchet MS"/>
          <w:color w:val="000000"/>
          <w:sz w:val="20"/>
          <w:szCs w:val="20"/>
        </w:rPr>
      </w:pPr>
    </w:p>
    <w:p w14:paraId="1CAE9D16" w14:textId="77777777" w:rsidR="004C2C41" w:rsidRPr="005F32DE" w:rsidRDefault="004C2C41" w:rsidP="004C2C41">
      <w:pPr>
        <w:tabs>
          <w:tab w:val="num" w:pos="709"/>
        </w:tabs>
        <w:autoSpaceDE w:val="0"/>
        <w:autoSpaceDN w:val="0"/>
        <w:adjustRightInd w:val="0"/>
        <w:spacing w:line="276" w:lineRule="auto"/>
        <w:rPr>
          <w:b/>
          <w:bCs/>
          <w:szCs w:val="20"/>
          <w:lang w:val="et-EE"/>
        </w:rPr>
      </w:pPr>
    </w:p>
    <w:p w14:paraId="2668BDBF" w14:textId="5BFB3069" w:rsidR="007C146F" w:rsidRPr="005F32DE" w:rsidRDefault="00F8697B" w:rsidP="00574F16">
      <w:pPr>
        <w:pStyle w:val="ListParagraph"/>
        <w:numPr>
          <w:ilvl w:val="0"/>
          <w:numId w:val="27"/>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
          <w:bCs/>
          <w:sz w:val="20"/>
          <w:szCs w:val="20"/>
        </w:rPr>
        <w:t xml:space="preserve">Kassatsioonkaebuse </w:t>
      </w:r>
      <w:r w:rsidR="00410AC1" w:rsidRPr="005F32DE">
        <w:rPr>
          <w:rFonts w:ascii="Trebuchet MS" w:hAnsi="Trebuchet MS"/>
          <w:b/>
          <w:bCs/>
          <w:sz w:val="20"/>
          <w:szCs w:val="20"/>
        </w:rPr>
        <w:t>õiguslik põhistus</w:t>
      </w:r>
    </w:p>
    <w:p w14:paraId="212EA213" w14:textId="77777777" w:rsidR="004C2C41" w:rsidRPr="005F32DE" w:rsidRDefault="004C2C41" w:rsidP="004C2C41">
      <w:pPr>
        <w:tabs>
          <w:tab w:val="num" w:pos="709"/>
        </w:tabs>
        <w:autoSpaceDE w:val="0"/>
        <w:autoSpaceDN w:val="0"/>
        <w:adjustRightInd w:val="0"/>
        <w:spacing w:line="276" w:lineRule="auto"/>
        <w:rPr>
          <w:b/>
          <w:szCs w:val="20"/>
          <w:lang w:val="et-EE"/>
        </w:rPr>
      </w:pPr>
    </w:p>
    <w:p w14:paraId="6FE61082" w14:textId="4F5CF2EE" w:rsidR="004555B6" w:rsidRPr="005F32DE" w:rsidRDefault="000C38E6" w:rsidP="00574F16">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
          <w:bCs/>
          <w:sz w:val="20"/>
          <w:szCs w:val="20"/>
        </w:rPr>
        <w:t>RahaPTS § 6 lg 2 p 4 ja</w:t>
      </w:r>
      <w:r w:rsidR="004555B6" w:rsidRPr="005F32DE">
        <w:rPr>
          <w:rFonts w:ascii="Trebuchet MS" w:hAnsi="Trebuchet MS"/>
          <w:b/>
          <w:bCs/>
          <w:sz w:val="20"/>
          <w:szCs w:val="20"/>
        </w:rPr>
        <w:t xml:space="preserve"> lg 4 või </w:t>
      </w:r>
      <w:r w:rsidR="00336461" w:rsidRPr="005F32DE">
        <w:rPr>
          <w:rFonts w:ascii="Trebuchet MS" w:hAnsi="Trebuchet MS"/>
          <w:b/>
          <w:bCs/>
          <w:sz w:val="20"/>
          <w:szCs w:val="20"/>
        </w:rPr>
        <w:t xml:space="preserve">Tallinna Ringkonnakohtu ja </w:t>
      </w:r>
      <w:r w:rsidR="004555B6" w:rsidRPr="005F32DE">
        <w:rPr>
          <w:rFonts w:ascii="Trebuchet MS" w:hAnsi="Trebuchet MS"/>
          <w:b/>
          <w:bCs/>
          <w:sz w:val="20"/>
          <w:szCs w:val="20"/>
        </w:rPr>
        <w:t xml:space="preserve">RAB-i tõlgendus nende sätete osas on vastuolus Euroopa Liidu õigusega (III direktiivi art 2 lg 1 ning </w:t>
      </w:r>
      <w:r w:rsidRPr="005F32DE">
        <w:rPr>
          <w:rFonts w:ascii="Trebuchet MS" w:hAnsi="Trebuchet MS"/>
          <w:b/>
          <w:bCs/>
          <w:sz w:val="20"/>
          <w:szCs w:val="20"/>
        </w:rPr>
        <w:t xml:space="preserve">art </w:t>
      </w:r>
      <w:r w:rsidR="004555B6" w:rsidRPr="005F32DE">
        <w:rPr>
          <w:rFonts w:ascii="Trebuchet MS" w:hAnsi="Trebuchet MS"/>
          <w:b/>
          <w:bCs/>
          <w:sz w:val="20"/>
          <w:szCs w:val="20"/>
        </w:rPr>
        <w:t xml:space="preserve">4 lg-d 1 ja 2). </w:t>
      </w:r>
    </w:p>
    <w:p w14:paraId="6EDAC05C" w14:textId="77777777" w:rsidR="004C2C41" w:rsidRPr="005F32DE" w:rsidRDefault="004C2C41" w:rsidP="004C2C41">
      <w:pPr>
        <w:tabs>
          <w:tab w:val="num" w:pos="709"/>
        </w:tabs>
        <w:autoSpaceDE w:val="0"/>
        <w:autoSpaceDN w:val="0"/>
        <w:adjustRightInd w:val="0"/>
        <w:spacing w:line="276" w:lineRule="auto"/>
        <w:ind w:left="142"/>
        <w:rPr>
          <w:bCs/>
          <w:szCs w:val="20"/>
          <w:lang w:val="et-EE"/>
        </w:rPr>
      </w:pPr>
    </w:p>
    <w:p w14:paraId="717D9A10" w14:textId="6677CEA8" w:rsidR="006870E1" w:rsidRPr="005F32DE" w:rsidRDefault="006870E1"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III direktiivi art 4 lg 1 võimaldab EL liikmesriigil laiendada direktiivi sätteid täies ulatuses või osaliselt elukutsetele ja ettevõtjate kategooriatele, mis ei ole küll III direktiivi art 2 lg-s 1 osutatud asutused ja isikud, „kuid tegutsevad alal, mida võidakse eriti tõenäoliselt kasutada rahapesu ja terrorismi rahastamise eesmärkidel”. Eesti seadusandja on kehtestanud III direktiivi miinimumnõuetest rangemad meetmed, laiendades RahaPTS § 6 lg 2 p-s 4 ja § 6 lg-s 4 rahapesualase regulatsiooni kohustatud subjektideks olevate finantseerimisasutuste ringi ka nn “alternatiivse maksevahendi teenuse pakkujatega”.</w:t>
      </w:r>
      <w:r w:rsidR="00F25147" w:rsidRPr="005F32DE">
        <w:rPr>
          <w:rStyle w:val="FootnoteReference"/>
          <w:rFonts w:ascii="Trebuchet MS" w:hAnsi="Trebuchet MS"/>
          <w:bCs/>
          <w:sz w:val="20"/>
          <w:szCs w:val="20"/>
        </w:rPr>
        <w:footnoteReference w:id="1"/>
      </w:r>
      <w:r w:rsidRPr="005F32DE">
        <w:rPr>
          <w:rFonts w:ascii="Trebuchet MS" w:hAnsi="Trebuchet MS"/>
          <w:bCs/>
          <w:sz w:val="20"/>
          <w:szCs w:val="20"/>
        </w:rPr>
        <w:t xml:space="preserve"> </w:t>
      </w:r>
    </w:p>
    <w:p w14:paraId="71706449" w14:textId="77777777" w:rsidR="006870E1" w:rsidRPr="005F32DE" w:rsidRDefault="006870E1" w:rsidP="006870E1">
      <w:pPr>
        <w:tabs>
          <w:tab w:val="num" w:pos="709"/>
        </w:tabs>
        <w:autoSpaceDE w:val="0"/>
        <w:autoSpaceDN w:val="0"/>
        <w:adjustRightInd w:val="0"/>
        <w:spacing w:line="276" w:lineRule="auto"/>
        <w:ind w:left="142"/>
        <w:rPr>
          <w:bCs/>
          <w:szCs w:val="20"/>
          <w:lang w:val="et-EE"/>
        </w:rPr>
      </w:pPr>
    </w:p>
    <w:p w14:paraId="2ACB0FE0" w14:textId="6775B196" w:rsidR="00855D94" w:rsidRPr="005F32DE" w:rsidRDefault="006870E1"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III direktiivis ei käsitleta finantseerimisasutusena alternatiivse maksevahendi teenuse pakkujat, sh puudub vastavasisuline definitsioon. </w:t>
      </w:r>
      <w:r w:rsidR="00B83F9B" w:rsidRPr="005F32DE">
        <w:rPr>
          <w:rFonts w:ascii="Trebuchet MS" w:hAnsi="Trebuchet MS"/>
          <w:bCs/>
          <w:sz w:val="20"/>
          <w:szCs w:val="20"/>
        </w:rPr>
        <w:t xml:space="preserve"> </w:t>
      </w:r>
    </w:p>
    <w:p w14:paraId="13025968" w14:textId="77777777" w:rsidR="00855D94" w:rsidRPr="005F32DE" w:rsidRDefault="00855D94" w:rsidP="00855D94">
      <w:pPr>
        <w:pStyle w:val="ListParagraph"/>
        <w:rPr>
          <w:rFonts w:ascii="Trebuchet MS" w:hAnsi="Trebuchet MS"/>
          <w:bCs/>
          <w:sz w:val="20"/>
          <w:szCs w:val="20"/>
        </w:rPr>
      </w:pPr>
    </w:p>
    <w:p w14:paraId="7A1C5A7F" w14:textId="4B2CDC0A" w:rsidR="00B83F9B" w:rsidRPr="005F32DE" w:rsidRDefault="00AF796A"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RahaPTS §-s 6 a</w:t>
      </w:r>
      <w:r w:rsidR="001D5B14" w:rsidRPr="005F32DE">
        <w:rPr>
          <w:rFonts w:ascii="Trebuchet MS" w:hAnsi="Trebuchet MS"/>
          <w:bCs/>
          <w:sz w:val="20"/>
          <w:szCs w:val="20"/>
        </w:rPr>
        <w:t xml:space="preserve">lternatiivsete maksevahendite teenuse pakkuja mõiste sätestamisel on võetud eeskuju Rahvusvahelise Valuutafondi </w:t>
      </w:r>
      <w:r w:rsidR="0072242B" w:rsidRPr="005F32DE">
        <w:rPr>
          <w:rFonts w:ascii="Trebuchet MS" w:hAnsi="Trebuchet MS"/>
          <w:bCs/>
          <w:sz w:val="20"/>
          <w:szCs w:val="20"/>
        </w:rPr>
        <w:t xml:space="preserve">(edaspidi </w:t>
      </w:r>
      <w:r w:rsidR="0072242B" w:rsidRPr="005F32DE">
        <w:rPr>
          <w:rFonts w:ascii="Trebuchet MS" w:hAnsi="Trebuchet MS"/>
          <w:b/>
          <w:bCs/>
          <w:sz w:val="20"/>
          <w:szCs w:val="20"/>
        </w:rPr>
        <w:t>IMF</w:t>
      </w:r>
      <w:r w:rsidR="0072242B" w:rsidRPr="005F32DE">
        <w:rPr>
          <w:rFonts w:ascii="Trebuchet MS" w:hAnsi="Trebuchet MS"/>
          <w:bCs/>
          <w:sz w:val="20"/>
          <w:szCs w:val="20"/>
        </w:rPr>
        <w:t xml:space="preserve">) </w:t>
      </w:r>
      <w:r w:rsidR="001D5B14" w:rsidRPr="005F32DE">
        <w:rPr>
          <w:rFonts w:ascii="Trebuchet MS" w:hAnsi="Trebuchet MS"/>
          <w:bCs/>
          <w:sz w:val="20"/>
          <w:szCs w:val="20"/>
        </w:rPr>
        <w:t>ja Ühinenud Rahvast</w:t>
      </w:r>
      <w:r w:rsidR="00F160CE" w:rsidRPr="005F32DE">
        <w:rPr>
          <w:rFonts w:ascii="Trebuchet MS" w:hAnsi="Trebuchet MS"/>
          <w:bCs/>
          <w:sz w:val="20"/>
          <w:szCs w:val="20"/>
        </w:rPr>
        <w:t>e</w:t>
      </w:r>
      <w:r w:rsidR="001D5B14" w:rsidRPr="005F32DE">
        <w:rPr>
          <w:rFonts w:ascii="Trebuchet MS" w:hAnsi="Trebuchet MS"/>
          <w:bCs/>
          <w:sz w:val="20"/>
          <w:szCs w:val="20"/>
        </w:rPr>
        <w:t xml:space="preserve"> Organisatsiooni poolt väljatöötatud mudelseaduse</w:t>
      </w:r>
      <w:r w:rsidRPr="005F32DE">
        <w:rPr>
          <w:rFonts w:ascii="Trebuchet MS" w:hAnsi="Trebuchet MS"/>
          <w:bCs/>
          <w:sz w:val="20"/>
          <w:szCs w:val="20"/>
        </w:rPr>
        <w:t>st ning FATF</w:t>
      </w:r>
      <w:r w:rsidR="00B83F9B" w:rsidRPr="005F32DE">
        <w:rPr>
          <w:rFonts w:ascii="Trebuchet MS" w:hAnsi="Trebuchet MS"/>
          <w:bCs/>
          <w:sz w:val="20"/>
          <w:szCs w:val="20"/>
        </w:rPr>
        <w:t>-i</w:t>
      </w:r>
      <w:r w:rsidRPr="005F32DE">
        <w:rPr>
          <w:rFonts w:ascii="Trebuchet MS" w:hAnsi="Trebuchet MS"/>
          <w:bCs/>
          <w:sz w:val="20"/>
          <w:szCs w:val="20"/>
        </w:rPr>
        <w:t xml:space="preserve"> </w:t>
      </w:r>
      <w:r w:rsidR="00B83F9B" w:rsidRPr="005F32DE">
        <w:rPr>
          <w:rFonts w:ascii="Trebuchet MS" w:hAnsi="Trebuchet MS"/>
          <w:bCs/>
          <w:sz w:val="20"/>
          <w:szCs w:val="20"/>
        </w:rPr>
        <w:t>erisoovitusest nr VI</w:t>
      </w:r>
      <w:r w:rsidR="00B83F9B" w:rsidRPr="005F32DE">
        <w:rPr>
          <w:rFonts w:ascii="Trebuchet MS" w:hAnsi="Trebuchet MS"/>
          <w:bCs/>
          <w:sz w:val="20"/>
          <w:szCs w:val="20"/>
          <w:vertAlign w:val="superscript"/>
        </w:rPr>
        <w:footnoteReference w:id="2"/>
      </w:r>
      <w:r w:rsidR="00B83F9B" w:rsidRPr="005F32DE">
        <w:rPr>
          <w:rFonts w:ascii="Trebuchet MS" w:hAnsi="Trebuchet MS"/>
          <w:bCs/>
          <w:sz w:val="20"/>
          <w:szCs w:val="20"/>
        </w:rPr>
        <w:t xml:space="preserve"> (vt ka ringkonnakohtu otsuse p 9)</w:t>
      </w:r>
      <w:r w:rsidR="001D5B14" w:rsidRPr="005F32DE">
        <w:rPr>
          <w:rFonts w:ascii="Trebuchet MS" w:hAnsi="Trebuchet MS"/>
          <w:bCs/>
          <w:sz w:val="20"/>
          <w:szCs w:val="20"/>
        </w:rPr>
        <w:t xml:space="preserve">. </w:t>
      </w:r>
    </w:p>
    <w:p w14:paraId="2D33DB40" w14:textId="77777777" w:rsidR="00B83F9B" w:rsidRPr="005F32DE" w:rsidRDefault="00B83F9B" w:rsidP="00B83F9B">
      <w:pPr>
        <w:pStyle w:val="ListParagraph"/>
        <w:rPr>
          <w:rFonts w:ascii="Trebuchet MS" w:hAnsi="Trebuchet MS"/>
          <w:bCs/>
          <w:sz w:val="20"/>
          <w:szCs w:val="20"/>
        </w:rPr>
      </w:pPr>
    </w:p>
    <w:p w14:paraId="61494014" w14:textId="77777777" w:rsidR="00B83F9B" w:rsidRPr="005F32DE" w:rsidRDefault="0072242B"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Praeguseks on IMF </w:t>
      </w:r>
      <w:r w:rsidR="006A00FC" w:rsidRPr="005F32DE">
        <w:rPr>
          <w:rFonts w:ascii="Trebuchet MS" w:hAnsi="Trebuchet MS"/>
          <w:bCs/>
          <w:sz w:val="20"/>
          <w:szCs w:val="20"/>
        </w:rPr>
        <w:t>nentinud, et tegemist ei ole e-rahaga</w:t>
      </w:r>
      <w:r w:rsidR="006A00FC" w:rsidRPr="005F32DE">
        <w:rPr>
          <w:rStyle w:val="FootnoteReference"/>
          <w:rFonts w:ascii="Trebuchet MS" w:hAnsi="Trebuchet MS"/>
          <w:bCs/>
          <w:sz w:val="20"/>
          <w:szCs w:val="20"/>
        </w:rPr>
        <w:footnoteReference w:id="3"/>
      </w:r>
      <w:r w:rsidR="006A00FC" w:rsidRPr="005F32DE">
        <w:rPr>
          <w:rFonts w:ascii="Trebuchet MS" w:hAnsi="Trebuchet MS"/>
          <w:bCs/>
          <w:sz w:val="20"/>
          <w:szCs w:val="20"/>
        </w:rPr>
        <w:t xml:space="preserve">, kuid </w:t>
      </w:r>
      <w:r w:rsidRPr="005F32DE">
        <w:rPr>
          <w:rFonts w:ascii="Trebuchet MS" w:hAnsi="Trebuchet MS"/>
          <w:bCs/>
          <w:sz w:val="20"/>
          <w:szCs w:val="20"/>
        </w:rPr>
        <w:t>samas</w:t>
      </w:r>
      <w:r w:rsidR="006A00FC" w:rsidRPr="005F32DE">
        <w:rPr>
          <w:rFonts w:ascii="Trebuchet MS" w:hAnsi="Trebuchet MS"/>
          <w:bCs/>
          <w:sz w:val="20"/>
          <w:szCs w:val="20"/>
        </w:rPr>
        <w:t xml:space="preserve"> ei ole </w:t>
      </w:r>
      <w:r w:rsidRPr="005F32DE">
        <w:rPr>
          <w:rFonts w:ascii="Trebuchet MS" w:hAnsi="Trebuchet MS"/>
          <w:bCs/>
          <w:sz w:val="20"/>
          <w:szCs w:val="20"/>
        </w:rPr>
        <w:t xml:space="preserve">IMF </w:t>
      </w:r>
      <w:r w:rsidR="00630FCA" w:rsidRPr="005F32DE">
        <w:rPr>
          <w:rFonts w:ascii="Trebuchet MS" w:hAnsi="Trebuchet MS"/>
          <w:bCs/>
          <w:sz w:val="20"/>
          <w:szCs w:val="20"/>
        </w:rPr>
        <w:t>esitanud oma arvamust</w:t>
      </w:r>
      <w:r w:rsidR="006A00FC" w:rsidRPr="005F32DE">
        <w:rPr>
          <w:rFonts w:ascii="Trebuchet MS" w:hAnsi="Trebuchet MS"/>
          <w:bCs/>
          <w:sz w:val="20"/>
          <w:szCs w:val="20"/>
        </w:rPr>
        <w:t>, millega on krüptoraha puhul tegemist.</w:t>
      </w:r>
    </w:p>
    <w:p w14:paraId="0313783B" w14:textId="77777777" w:rsidR="00B83F9B" w:rsidRPr="005F32DE" w:rsidRDefault="00B83F9B" w:rsidP="00B83F9B">
      <w:pPr>
        <w:pStyle w:val="ListParagraph"/>
        <w:rPr>
          <w:rFonts w:ascii="Trebuchet MS" w:hAnsi="Trebuchet MS"/>
          <w:bCs/>
          <w:sz w:val="20"/>
          <w:szCs w:val="20"/>
        </w:rPr>
      </w:pPr>
    </w:p>
    <w:p w14:paraId="37013297" w14:textId="1AC165B6" w:rsidR="006A00FC" w:rsidRPr="005F32DE" w:rsidRDefault="00496A21"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496A21">
        <w:rPr>
          <w:rFonts w:ascii="Trebuchet MS" w:hAnsi="Trebuchet MS"/>
          <w:bCs/>
          <w:sz w:val="20"/>
          <w:szCs w:val="20"/>
          <w:lang w:val="en-US"/>
        </w:rPr>
        <w:t>II</w:t>
      </w:r>
      <w:r>
        <w:rPr>
          <w:rFonts w:ascii="Trebuchet MS" w:hAnsi="Trebuchet MS"/>
          <w:bCs/>
          <w:sz w:val="20"/>
          <w:szCs w:val="20"/>
          <w:lang w:val="en-US"/>
        </w:rPr>
        <w:t>I</w:t>
      </w:r>
      <w:r w:rsidRPr="00496A21">
        <w:rPr>
          <w:rFonts w:ascii="Trebuchet MS" w:hAnsi="Trebuchet MS"/>
          <w:bCs/>
          <w:sz w:val="20"/>
          <w:szCs w:val="20"/>
          <w:lang w:val="en-US"/>
        </w:rPr>
        <w:t xml:space="preserve"> direktiivi 5. </w:t>
      </w:r>
      <w:r>
        <w:rPr>
          <w:rFonts w:ascii="Trebuchet MS" w:hAnsi="Trebuchet MS"/>
          <w:bCs/>
          <w:sz w:val="20"/>
          <w:szCs w:val="20"/>
          <w:lang w:val="en-US"/>
        </w:rPr>
        <w:t>p</w:t>
      </w:r>
      <w:r w:rsidRPr="00496A21">
        <w:rPr>
          <w:rFonts w:ascii="Trebuchet MS" w:hAnsi="Trebuchet MS"/>
          <w:bCs/>
          <w:sz w:val="20"/>
          <w:szCs w:val="20"/>
          <w:lang w:val="en-US"/>
        </w:rPr>
        <w:t>õhjendus</w:t>
      </w:r>
      <w:r>
        <w:rPr>
          <w:rFonts w:ascii="Trebuchet MS" w:hAnsi="Trebuchet MS"/>
          <w:bCs/>
          <w:sz w:val="20"/>
          <w:szCs w:val="20"/>
          <w:lang w:val="en-US"/>
        </w:rPr>
        <w:t>e kohaselt</w:t>
      </w:r>
      <w:r w:rsidRPr="00496A21">
        <w:rPr>
          <w:rFonts w:ascii="Trebuchet MS" w:hAnsi="Trebuchet MS"/>
          <w:bCs/>
          <w:sz w:val="20"/>
          <w:szCs w:val="20"/>
          <w:lang w:val="en-US"/>
        </w:rPr>
        <w:t xml:space="preserve"> </w:t>
      </w:r>
      <w:r>
        <w:rPr>
          <w:rFonts w:ascii="Trebuchet MS" w:hAnsi="Trebuchet MS"/>
          <w:bCs/>
          <w:sz w:val="20"/>
          <w:szCs w:val="20"/>
          <w:lang w:val="en-US"/>
        </w:rPr>
        <w:t>tuleb arvestada</w:t>
      </w:r>
      <w:r w:rsidRPr="00496A21">
        <w:rPr>
          <w:rFonts w:ascii="Trebuchet MS" w:hAnsi="Trebuchet MS"/>
          <w:bCs/>
          <w:sz w:val="20"/>
          <w:szCs w:val="20"/>
          <w:lang w:val="en-US"/>
        </w:rPr>
        <w:t xml:space="preserve"> FATF-i soovitustega.</w:t>
      </w:r>
      <w:r w:rsidRPr="00496A21">
        <w:rPr>
          <w:rFonts w:ascii="Trebuchet MS" w:hAnsi="Trebuchet MS"/>
          <w:bCs/>
          <w:sz w:val="20"/>
          <w:szCs w:val="20"/>
          <w:vertAlign w:val="superscript"/>
          <w:lang w:val="en-US"/>
        </w:rPr>
        <w:footnoteReference w:id="4"/>
      </w:r>
      <w:r>
        <w:rPr>
          <w:rFonts w:ascii="Trebuchet MS" w:hAnsi="Trebuchet MS"/>
          <w:bCs/>
          <w:sz w:val="20"/>
          <w:szCs w:val="20"/>
          <w:lang w:val="en-US"/>
        </w:rPr>
        <w:t xml:space="preserve"> </w:t>
      </w:r>
      <w:r w:rsidR="00855D94" w:rsidRPr="005F32DE">
        <w:rPr>
          <w:rFonts w:ascii="Trebuchet MS" w:hAnsi="Trebuchet MS"/>
          <w:bCs/>
          <w:sz w:val="20"/>
          <w:szCs w:val="20"/>
        </w:rPr>
        <w:t>E</w:t>
      </w:r>
      <w:r w:rsidR="00B83F9B" w:rsidRPr="005F32DE">
        <w:rPr>
          <w:rFonts w:ascii="Trebuchet MS" w:hAnsi="Trebuchet MS"/>
          <w:bCs/>
          <w:sz w:val="20"/>
          <w:szCs w:val="20"/>
        </w:rPr>
        <w:t>ttekirjutuse tegemise ajaks ei olnud FATF veel defineerinud virtuaal- ja</w:t>
      </w:r>
      <w:r w:rsidR="00855D94" w:rsidRPr="005F32DE">
        <w:rPr>
          <w:rFonts w:ascii="Trebuchet MS" w:hAnsi="Trebuchet MS"/>
          <w:bCs/>
          <w:sz w:val="20"/>
          <w:szCs w:val="20"/>
        </w:rPr>
        <w:t xml:space="preserve"> krüptoraha ning ainuüksi see</w:t>
      </w:r>
      <w:r w:rsidR="00B83F9B" w:rsidRPr="005F32DE">
        <w:rPr>
          <w:rFonts w:ascii="Trebuchet MS" w:hAnsi="Trebuchet MS"/>
          <w:bCs/>
          <w:sz w:val="20"/>
          <w:szCs w:val="20"/>
        </w:rPr>
        <w:t xml:space="preserve">tõttu ei saa väita, et FATF-i </w:t>
      </w:r>
      <w:r w:rsidR="00855D94" w:rsidRPr="005F32DE">
        <w:rPr>
          <w:rFonts w:ascii="Trebuchet MS" w:hAnsi="Trebuchet MS"/>
          <w:bCs/>
          <w:sz w:val="20"/>
          <w:szCs w:val="20"/>
        </w:rPr>
        <w:t xml:space="preserve">varasemad </w:t>
      </w:r>
      <w:r w:rsidR="00B83F9B" w:rsidRPr="005F32DE">
        <w:rPr>
          <w:rFonts w:ascii="Trebuchet MS" w:hAnsi="Trebuchet MS"/>
          <w:bCs/>
          <w:sz w:val="20"/>
          <w:szCs w:val="20"/>
        </w:rPr>
        <w:t xml:space="preserve">soovitused hõlmaksid virtuaal- ja krüptoraha. FATF </w:t>
      </w:r>
      <w:r>
        <w:rPr>
          <w:rFonts w:ascii="Trebuchet MS" w:hAnsi="Trebuchet MS"/>
          <w:bCs/>
          <w:sz w:val="20"/>
          <w:szCs w:val="20"/>
        </w:rPr>
        <w:t xml:space="preserve">on </w:t>
      </w:r>
      <w:r w:rsidR="00855D94" w:rsidRPr="005F32DE">
        <w:rPr>
          <w:rFonts w:ascii="Trebuchet MS" w:hAnsi="Trebuchet MS"/>
          <w:bCs/>
          <w:sz w:val="20"/>
          <w:szCs w:val="20"/>
        </w:rPr>
        <w:t>ametlikult avaldanud</w:t>
      </w:r>
      <w:r>
        <w:rPr>
          <w:rFonts w:ascii="Trebuchet MS" w:hAnsi="Trebuchet MS"/>
          <w:bCs/>
          <w:sz w:val="20"/>
          <w:szCs w:val="20"/>
        </w:rPr>
        <w:t xml:space="preserve"> rahapesualased soovitused</w:t>
      </w:r>
      <w:r w:rsidR="00B83F9B" w:rsidRPr="005F32DE">
        <w:rPr>
          <w:rFonts w:ascii="Trebuchet MS" w:hAnsi="Trebuchet MS"/>
          <w:bCs/>
          <w:sz w:val="20"/>
          <w:szCs w:val="20"/>
        </w:rPr>
        <w:t xml:space="preserve"> </w:t>
      </w:r>
      <w:r>
        <w:rPr>
          <w:rFonts w:ascii="Trebuchet MS" w:hAnsi="Trebuchet MS"/>
          <w:bCs/>
          <w:sz w:val="20"/>
          <w:szCs w:val="20"/>
        </w:rPr>
        <w:t xml:space="preserve">virtuaalrahadega </w:t>
      </w:r>
      <w:r w:rsidR="00B83F9B" w:rsidRPr="005F32DE">
        <w:rPr>
          <w:rFonts w:ascii="Trebuchet MS" w:hAnsi="Trebuchet MS"/>
          <w:bCs/>
          <w:sz w:val="20"/>
          <w:szCs w:val="20"/>
        </w:rPr>
        <w:t>kauplemise kohta</w:t>
      </w:r>
      <w:r>
        <w:rPr>
          <w:rFonts w:ascii="Trebuchet MS" w:hAnsi="Trebuchet MS"/>
          <w:bCs/>
          <w:sz w:val="20"/>
          <w:szCs w:val="20"/>
        </w:rPr>
        <w:t xml:space="preserve"> alles 2015. a juunis</w:t>
      </w:r>
      <w:r>
        <w:rPr>
          <w:rStyle w:val="FootnoteReference"/>
          <w:rFonts w:ascii="Trebuchet MS" w:hAnsi="Trebuchet MS"/>
          <w:bCs/>
          <w:sz w:val="20"/>
          <w:szCs w:val="20"/>
        </w:rPr>
        <w:footnoteReference w:id="5"/>
      </w:r>
      <w:r>
        <w:rPr>
          <w:rFonts w:ascii="Trebuchet MS" w:hAnsi="Trebuchet MS"/>
          <w:bCs/>
          <w:sz w:val="20"/>
          <w:szCs w:val="20"/>
        </w:rPr>
        <w:t xml:space="preserve"> ning </w:t>
      </w:r>
      <w:r w:rsidR="00B83F9B" w:rsidRPr="005F32DE">
        <w:rPr>
          <w:rFonts w:ascii="Trebuchet MS" w:hAnsi="Trebuchet MS"/>
          <w:bCs/>
          <w:sz w:val="20"/>
          <w:szCs w:val="20"/>
        </w:rPr>
        <w:t>pakkunu</w:t>
      </w:r>
      <w:r w:rsidR="00855D94" w:rsidRPr="005F32DE">
        <w:rPr>
          <w:rFonts w:ascii="Trebuchet MS" w:hAnsi="Trebuchet MS"/>
          <w:bCs/>
          <w:sz w:val="20"/>
          <w:szCs w:val="20"/>
        </w:rPr>
        <w:t xml:space="preserve">d välja </w:t>
      </w:r>
      <w:r>
        <w:rPr>
          <w:rFonts w:ascii="Trebuchet MS" w:hAnsi="Trebuchet MS"/>
          <w:bCs/>
          <w:sz w:val="20"/>
          <w:szCs w:val="20"/>
        </w:rPr>
        <w:t>võtmedefinitsioonid</w:t>
      </w:r>
      <w:r w:rsidR="00B83F9B" w:rsidRPr="005F32DE">
        <w:rPr>
          <w:rFonts w:ascii="Trebuchet MS" w:hAnsi="Trebuchet MS"/>
          <w:bCs/>
          <w:sz w:val="20"/>
          <w:szCs w:val="20"/>
        </w:rPr>
        <w:t xml:space="preserve"> </w:t>
      </w:r>
      <w:r w:rsidR="006A00FC" w:rsidRPr="005F32DE">
        <w:rPr>
          <w:rFonts w:ascii="Trebuchet MS" w:hAnsi="Trebuchet MS"/>
          <w:bCs/>
          <w:sz w:val="20"/>
          <w:szCs w:val="20"/>
        </w:rPr>
        <w:t>alles 2014. aastal</w:t>
      </w:r>
      <w:r w:rsidR="00E47024" w:rsidRPr="005F32DE">
        <w:rPr>
          <w:rStyle w:val="FootnoteReference"/>
          <w:rFonts w:ascii="Trebuchet MS" w:hAnsi="Trebuchet MS"/>
          <w:bCs/>
          <w:sz w:val="20"/>
          <w:szCs w:val="20"/>
        </w:rPr>
        <w:footnoteReference w:id="6"/>
      </w:r>
      <w:r w:rsidR="00E47024" w:rsidRPr="005F32DE">
        <w:rPr>
          <w:rFonts w:ascii="Trebuchet MS" w:hAnsi="Trebuchet MS"/>
          <w:bCs/>
          <w:sz w:val="20"/>
          <w:szCs w:val="20"/>
        </w:rPr>
        <w:t xml:space="preserve"> (vt </w:t>
      </w:r>
      <w:r w:rsidR="00B83F9B" w:rsidRPr="005F32DE">
        <w:rPr>
          <w:rFonts w:ascii="Trebuchet MS" w:hAnsi="Trebuchet MS"/>
          <w:bCs/>
          <w:sz w:val="20"/>
          <w:szCs w:val="20"/>
        </w:rPr>
        <w:t xml:space="preserve">ka </w:t>
      </w:r>
      <w:r w:rsidR="00F160CE" w:rsidRPr="005F32DE">
        <w:rPr>
          <w:rFonts w:ascii="Trebuchet MS" w:hAnsi="Trebuchet MS"/>
          <w:bCs/>
          <w:sz w:val="20"/>
          <w:szCs w:val="20"/>
        </w:rPr>
        <w:t xml:space="preserve">kaebaja </w:t>
      </w:r>
      <w:r w:rsidR="00E47024" w:rsidRPr="005F32DE">
        <w:rPr>
          <w:rFonts w:ascii="Trebuchet MS" w:hAnsi="Trebuchet MS"/>
          <w:bCs/>
          <w:sz w:val="20"/>
          <w:szCs w:val="20"/>
        </w:rPr>
        <w:t>kohtukõne kirjalikud seisukohad</w:t>
      </w:r>
      <w:r w:rsidR="00AB5DAA" w:rsidRPr="005F32DE">
        <w:rPr>
          <w:rFonts w:ascii="Trebuchet MS" w:hAnsi="Trebuchet MS"/>
          <w:bCs/>
          <w:sz w:val="20"/>
          <w:szCs w:val="20"/>
        </w:rPr>
        <w:t xml:space="preserve"> </w:t>
      </w:r>
      <w:r w:rsidR="00AB5DAA" w:rsidRPr="005F32DE">
        <w:rPr>
          <w:rFonts w:ascii="Trebuchet MS" w:hAnsi="Trebuchet MS"/>
          <w:bCs/>
          <w:sz w:val="20"/>
          <w:szCs w:val="20"/>
        </w:rPr>
        <w:lastRenderedPageBreak/>
        <w:t>ringkonnakohtus</w:t>
      </w:r>
      <w:r w:rsidR="00F160CE" w:rsidRPr="005F32DE">
        <w:rPr>
          <w:rFonts w:ascii="Trebuchet MS" w:hAnsi="Trebuchet MS"/>
          <w:bCs/>
          <w:sz w:val="20"/>
          <w:szCs w:val="20"/>
        </w:rPr>
        <w:t>,</w:t>
      </w:r>
      <w:r w:rsidR="00E47024" w:rsidRPr="005F32DE">
        <w:rPr>
          <w:rFonts w:ascii="Trebuchet MS" w:hAnsi="Trebuchet MS"/>
          <w:bCs/>
          <w:sz w:val="20"/>
          <w:szCs w:val="20"/>
        </w:rPr>
        <w:t xml:space="preserve"> p </w:t>
      </w:r>
      <w:r w:rsidR="001A09B0" w:rsidRPr="005F32DE">
        <w:rPr>
          <w:rFonts w:ascii="Trebuchet MS" w:hAnsi="Trebuchet MS"/>
          <w:bCs/>
          <w:sz w:val="20"/>
          <w:szCs w:val="20"/>
        </w:rPr>
        <w:t>1.2)</w:t>
      </w:r>
      <w:r w:rsidR="00E47024" w:rsidRPr="005F32DE">
        <w:rPr>
          <w:rFonts w:ascii="Trebuchet MS" w:hAnsi="Trebuchet MS"/>
          <w:bCs/>
          <w:sz w:val="20"/>
          <w:szCs w:val="20"/>
        </w:rPr>
        <w:t xml:space="preserve">. </w:t>
      </w:r>
      <w:r w:rsidR="00A32096" w:rsidRPr="005F32DE">
        <w:rPr>
          <w:rFonts w:ascii="Trebuchet MS" w:hAnsi="Trebuchet MS"/>
          <w:bCs/>
          <w:sz w:val="20"/>
          <w:szCs w:val="20"/>
        </w:rPr>
        <w:t xml:space="preserve">Samas väärib rõhutamist, et </w:t>
      </w:r>
      <w:r w:rsidR="00E47024" w:rsidRPr="005F32DE">
        <w:rPr>
          <w:rFonts w:ascii="Trebuchet MS" w:hAnsi="Trebuchet MS"/>
          <w:bCs/>
          <w:sz w:val="20"/>
          <w:szCs w:val="20"/>
        </w:rPr>
        <w:t xml:space="preserve">FATF ei ole </w:t>
      </w:r>
      <w:r w:rsidR="00A32096" w:rsidRPr="005F32DE">
        <w:rPr>
          <w:rFonts w:ascii="Trebuchet MS" w:hAnsi="Trebuchet MS"/>
          <w:bCs/>
          <w:sz w:val="20"/>
          <w:szCs w:val="20"/>
        </w:rPr>
        <w:t xml:space="preserve">tänaseni </w:t>
      </w:r>
      <w:r w:rsidR="00E47024" w:rsidRPr="005F32DE">
        <w:rPr>
          <w:rFonts w:ascii="Trebuchet MS" w:hAnsi="Trebuchet MS"/>
          <w:bCs/>
          <w:sz w:val="20"/>
          <w:szCs w:val="20"/>
        </w:rPr>
        <w:t>võtnud seisukohta, et virtuaal- ja krüptoraha puhul on tegemist alternatiivse maksevahendiga</w:t>
      </w:r>
      <w:r w:rsidR="00677090">
        <w:rPr>
          <w:rFonts w:ascii="Trebuchet MS" w:hAnsi="Trebuchet MS"/>
          <w:bCs/>
          <w:sz w:val="20"/>
          <w:szCs w:val="20"/>
        </w:rPr>
        <w:t xml:space="preserve"> (RahaPTS § 6 tähenduses)</w:t>
      </w:r>
      <w:r w:rsidR="00A32096" w:rsidRPr="005F32DE">
        <w:rPr>
          <w:rFonts w:ascii="Trebuchet MS" w:hAnsi="Trebuchet MS"/>
          <w:bCs/>
          <w:sz w:val="20"/>
          <w:szCs w:val="20"/>
        </w:rPr>
        <w:t>.</w:t>
      </w:r>
      <w:r w:rsidR="003C5625" w:rsidRPr="005F32DE">
        <w:rPr>
          <w:rFonts w:ascii="Trebuchet MS" w:hAnsi="Trebuchet MS"/>
          <w:bCs/>
          <w:sz w:val="20"/>
          <w:szCs w:val="20"/>
        </w:rPr>
        <w:t xml:space="preserve"> </w:t>
      </w:r>
      <w:r w:rsidR="00A32096" w:rsidRPr="005F32DE">
        <w:rPr>
          <w:rFonts w:ascii="Trebuchet MS" w:hAnsi="Trebuchet MS"/>
          <w:bCs/>
          <w:sz w:val="20"/>
          <w:szCs w:val="20"/>
        </w:rPr>
        <w:t>P</w:t>
      </w:r>
      <w:r w:rsidR="003C5625" w:rsidRPr="005F32DE">
        <w:rPr>
          <w:rFonts w:ascii="Trebuchet MS" w:hAnsi="Trebuchet MS"/>
          <w:bCs/>
          <w:sz w:val="20"/>
          <w:szCs w:val="20"/>
        </w:rPr>
        <w:t xml:space="preserve">igem on virtuaal- </w:t>
      </w:r>
      <w:r w:rsidR="00677090">
        <w:rPr>
          <w:rFonts w:ascii="Trebuchet MS" w:hAnsi="Trebuchet MS"/>
          <w:bCs/>
          <w:sz w:val="20"/>
          <w:szCs w:val="20"/>
        </w:rPr>
        <w:t>ja krüptoraha defineeritud nii</w:t>
      </w:r>
      <w:r w:rsidR="003C5625" w:rsidRPr="005F32DE">
        <w:rPr>
          <w:rFonts w:ascii="Trebuchet MS" w:hAnsi="Trebuchet MS"/>
          <w:bCs/>
          <w:sz w:val="20"/>
          <w:szCs w:val="20"/>
        </w:rPr>
        <w:t>, et nende puhul ei pruugigi tegu olla maksevahendiga</w:t>
      </w:r>
      <w:r w:rsidR="00E47024" w:rsidRPr="005F32DE">
        <w:rPr>
          <w:rFonts w:ascii="Trebuchet MS" w:hAnsi="Trebuchet MS"/>
          <w:bCs/>
          <w:sz w:val="20"/>
          <w:szCs w:val="20"/>
        </w:rPr>
        <w:t>.</w:t>
      </w:r>
      <w:r w:rsidR="00347417" w:rsidRPr="005F32DE">
        <w:rPr>
          <w:rFonts w:ascii="Trebuchet MS" w:hAnsi="Trebuchet MS"/>
          <w:bCs/>
          <w:sz w:val="20"/>
          <w:szCs w:val="20"/>
        </w:rPr>
        <w:t xml:space="preserve"> Kuna </w:t>
      </w:r>
      <w:r w:rsidR="00E47024" w:rsidRPr="005F32DE">
        <w:rPr>
          <w:rFonts w:ascii="Trebuchet MS" w:hAnsi="Trebuchet MS"/>
          <w:bCs/>
          <w:sz w:val="20"/>
          <w:szCs w:val="20"/>
        </w:rPr>
        <w:t>virtuaal- ja krüptorahal ei pruugi olla rahas väljendatavat väärtust</w:t>
      </w:r>
      <w:r w:rsidR="00347417" w:rsidRPr="005F32DE">
        <w:rPr>
          <w:rFonts w:ascii="Trebuchet MS" w:hAnsi="Trebuchet MS"/>
          <w:bCs/>
          <w:sz w:val="20"/>
          <w:szCs w:val="20"/>
        </w:rPr>
        <w:t xml:space="preserve"> </w:t>
      </w:r>
      <w:r w:rsidR="00755AE3" w:rsidRPr="005F32DE">
        <w:rPr>
          <w:rFonts w:ascii="Trebuchet MS" w:hAnsi="Trebuchet MS"/>
          <w:bCs/>
          <w:sz w:val="20"/>
          <w:szCs w:val="20"/>
        </w:rPr>
        <w:t xml:space="preserve">ning </w:t>
      </w:r>
      <w:r w:rsidR="00A32096" w:rsidRPr="005F32DE">
        <w:rPr>
          <w:rFonts w:ascii="Trebuchet MS" w:hAnsi="Trebuchet MS"/>
          <w:bCs/>
          <w:sz w:val="20"/>
          <w:szCs w:val="20"/>
        </w:rPr>
        <w:t xml:space="preserve">enamikke neist </w:t>
      </w:r>
      <w:r w:rsidR="00755AE3" w:rsidRPr="005F32DE">
        <w:rPr>
          <w:rFonts w:ascii="Trebuchet MS" w:hAnsi="Trebuchet MS"/>
          <w:bCs/>
          <w:sz w:val="20"/>
          <w:szCs w:val="20"/>
        </w:rPr>
        <w:t>ei aktsepteerida maksevahendina,</w:t>
      </w:r>
      <w:r w:rsidR="00630FCA" w:rsidRPr="005F32DE">
        <w:rPr>
          <w:rFonts w:ascii="Trebuchet MS" w:hAnsi="Trebuchet MS"/>
          <w:bCs/>
          <w:sz w:val="20"/>
          <w:szCs w:val="20"/>
        </w:rPr>
        <w:t xml:space="preserve"> </w:t>
      </w:r>
      <w:r w:rsidR="008C23EE" w:rsidRPr="005F32DE">
        <w:rPr>
          <w:rFonts w:ascii="Trebuchet MS" w:hAnsi="Trebuchet MS"/>
          <w:bCs/>
          <w:sz w:val="20"/>
          <w:szCs w:val="20"/>
        </w:rPr>
        <w:t>on sellisel juhul</w:t>
      </w:r>
      <w:r w:rsidR="00755AE3" w:rsidRPr="005F32DE">
        <w:rPr>
          <w:rFonts w:ascii="Trebuchet MS" w:hAnsi="Trebuchet MS"/>
          <w:bCs/>
          <w:sz w:val="20"/>
          <w:szCs w:val="20"/>
        </w:rPr>
        <w:t xml:space="preserve"> tegemist</w:t>
      </w:r>
      <w:r w:rsidR="008C23EE" w:rsidRPr="005F32DE">
        <w:rPr>
          <w:rFonts w:ascii="Trebuchet MS" w:hAnsi="Trebuchet MS"/>
          <w:bCs/>
          <w:sz w:val="20"/>
          <w:szCs w:val="20"/>
        </w:rPr>
        <w:t xml:space="preserve"> lihtsalt krüptograafia põhimõtteid rakendava turvalise andmete jagamise keskkonnaga</w:t>
      </w:r>
      <w:r w:rsidR="00A32096" w:rsidRPr="005F32DE">
        <w:rPr>
          <w:rFonts w:ascii="Trebuchet MS" w:hAnsi="Trebuchet MS"/>
          <w:bCs/>
          <w:sz w:val="20"/>
          <w:szCs w:val="20"/>
        </w:rPr>
        <w:t xml:space="preserve"> ning</w:t>
      </w:r>
      <w:r w:rsidR="00E47024" w:rsidRPr="005F32DE">
        <w:rPr>
          <w:rFonts w:ascii="Trebuchet MS" w:hAnsi="Trebuchet MS"/>
          <w:bCs/>
          <w:sz w:val="20"/>
          <w:szCs w:val="20"/>
        </w:rPr>
        <w:t xml:space="preserve"> ka FATF</w:t>
      </w:r>
      <w:r w:rsidR="008C23EE" w:rsidRPr="005F32DE">
        <w:rPr>
          <w:rFonts w:ascii="Trebuchet MS" w:hAnsi="Trebuchet MS"/>
          <w:bCs/>
          <w:sz w:val="20"/>
          <w:szCs w:val="20"/>
        </w:rPr>
        <w:t xml:space="preserve"> </w:t>
      </w:r>
      <w:r w:rsidR="00755AE3" w:rsidRPr="005F32DE">
        <w:rPr>
          <w:rFonts w:ascii="Trebuchet MS" w:hAnsi="Trebuchet MS"/>
          <w:bCs/>
          <w:sz w:val="20"/>
          <w:szCs w:val="20"/>
        </w:rPr>
        <w:t xml:space="preserve">on </w:t>
      </w:r>
      <w:r w:rsidR="008C23EE" w:rsidRPr="005F32DE">
        <w:rPr>
          <w:rFonts w:ascii="Trebuchet MS" w:hAnsi="Trebuchet MS"/>
          <w:bCs/>
          <w:sz w:val="20"/>
          <w:szCs w:val="20"/>
        </w:rPr>
        <w:t>oma definitsioonis viidanud sellele, et virtuaal- ja krüptoraha puhul võib lihtsalt olla tegemist</w:t>
      </w:r>
      <w:r w:rsidR="00347417" w:rsidRPr="005F32DE">
        <w:rPr>
          <w:rFonts w:ascii="Trebuchet MS" w:hAnsi="Trebuchet MS"/>
          <w:bCs/>
          <w:sz w:val="20"/>
          <w:szCs w:val="20"/>
        </w:rPr>
        <w:t xml:space="preserve"> arvestusühikuga või eraldi ka ainult väärtuse säilitajana.</w:t>
      </w:r>
      <w:r w:rsidR="004C0FEF" w:rsidRPr="005F32DE">
        <w:rPr>
          <w:rFonts w:ascii="Trebuchet MS" w:hAnsi="Trebuchet MS"/>
          <w:bCs/>
          <w:sz w:val="20"/>
          <w:szCs w:val="20"/>
        </w:rPr>
        <w:t xml:space="preserve"> Seega on</w:t>
      </w:r>
      <w:r w:rsidR="00347417" w:rsidRPr="005F32DE">
        <w:rPr>
          <w:rFonts w:ascii="Trebuchet MS" w:hAnsi="Trebuchet MS"/>
          <w:bCs/>
          <w:sz w:val="20"/>
          <w:szCs w:val="20"/>
        </w:rPr>
        <w:t xml:space="preserve"> FATF</w:t>
      </w:r>
      <w:r w:rsidR="0072242B" w:rsidRPr="005F32DE">
        <w:rPr>
          <w:rFonts w:ascii="Trebuchet MS" w:hAnsi="Trebuchet MS"/>
          <w:bCs/>
          <w:sz w:val="20"/>
          <w:szCs w:val="20"/>
        </w:rPr>
        <w:t xml:space="preserve"> sisuliselt</w:t>
      </w:r>
      <w:r w:rsidR="00347417" w:rsidRPr="005F32DE">
        <w:rPr>
          <w:rFonts w:ascii="Trebuchet MS" w:hAnsi="Trebuchet MS"/>
          <w:bCs/>
          <w:sz w:val="20"/>
          <w:szCs w:val="20"/>
        </w:rPr>
        <w:t xml:space="preserve"> leidnud, et virtuaal- ja krüptoraha</w:t>
      </w:r>
      <w:r>
        <w:rPr>
          <w:rFonts w:ascii="Trebuchet MS" w:hAnsi="Trebuchet MS"/>
          <w:bCs/>
          <w:sz w:val="20"/>
          <w:szCs w:val="20"/>
        </w:rPr>
        <w:t xml:space="preserve"> ei vasta kõigile alternatiivse</w:t>
      </w:r>
      <w:r w:rsidR="00347417" w:rsidRPr="005F32DE">
        <w:rPr>
          <w:rFonts w:ascii="Trebuchet MS" w:hAnsi="Trebuchet MS"/>
          <w:bCs/>
          <w:sz w:val="20"/>
          <w:szCs w:val="20"/>
        </w:rPr>
        <w:t xml:space="preserve"> maksevahendi tunnustele.</w:t>
      </w:r>
    </w:p>
    <w:p w14:paraId="4966755E" w14:textId="77777777" w:rsidR="004C2C41" w:rsidRPr="005F32DE" w:rsidRDefault="004C2C41" w:rsidP="004C2C41">
      <w:pPr>
        <w:tabs>
          <w:tab w:val="num" w:pos="709"/>
        </w:tabs>
        <w:autoSpaceDE w:val="0"/>
        <w:autoSpaceDN w:val="0"/>
        <w:adjustRightInd w:val="0"/>
        <w:spacing w:line="276" w:lineRule="auto"/>
        <w:ind w:left="142"/>
        <w:rPr>
          <w:bCs/>
          <w:szCs w:val="20"/>
          <w:lang w:val="et-EE"/>
        </w:rPr>
      </w:pPr>
    </w:p>
    <w:p w14:paraId="6A8EE4C3" w14:textId="3EC5E68E" w:rsidR="003C5625" w:rsidRPr="005F32DE" w:rsidRDefault="004C0FEF"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Tulenevalt asjaolust, et FATF</w:t>
      </w:r>
      <w:r w:rsidR="00496A21">
        <w:rPr>
          <w:rFonts w:ascii="Trebuchet MS" w:hAnsi="Trebuchet MS"/>
          <w:bCs/>
          <w:sz w:val="20"/>
          <w:szCs w:val="20"/>
        </w:rPr>
        <w:t>-i</w:t>
      </w:r>
      <w:r w:rsidRPr="005F32DE">
        <w:rPr>
          <w:rFonts w:ascii="Trebuchet MS" w:hAnsi="Trebuchet MS"/>
          <w:bCs/>
          <w:sz w:val="20"/>
          <w:szCs w:val="20"/>
        </w:rPr>
        <w:t xml:space="preserve"> </w:t>
      </w:r>
      <w:r w:rsidR="00496A21">
        <w:rPr>
          <w:rFonts w:ascii="Trebuchet MS" w:hAnsi="Trebuchet MS"/>
          <w:bCs/>
          <w:sz w:val="20"/>
          <w:szCs w:val="20"/>
        </w:rPr>
        <w:t>2014. a juunis avaldatud definitsiooni kohaselt ei saa</w:t>
      </w:r>
      <w:r w:rsidRPr="005F32DE">
        <w:rPr>
          <w:rFonts w:ascii="Trebuchet MS" w:hAnsi="Trebuchet MS"/>
          <w:bCs/>
          <w:sz w:val="20"/>
          <w:szCs w:val="20"/>
        </w:rPr>
        <w:t xml:space="preserve"> virtuaal- ja krüptoraha </w:t>
      </w:r>
      <w:r w:rsidR="00677090">
        <w:rPr>
          <w:rFonts w:ascii="Trebuchet MS" w:hAnsi="Trebuchet MS"/>
          <w:bCs/>
          <w:sz w:val="20"/>
          <w:szCs w:val="20"/>
        </w:rPr>
        <w:t xml:space="preserve">üheselt </w:t>
      </w:r>
      <w:r w:rsidRPr="005F32DE">
        <w:rPr>
          <w:rFonts w:ascii="Trebuchet MS" w:hAnsi="Trebuchet MS"/>
          <w:bCs/>
          <w:sz w:val="20"/>
          <w:szCs w:val="20"/>
        </w:rPr>
        <w:t>käsitleda kui</w:t>
      </w:r>
      <w:r w:rsidR="00B83F9B" w:rsidRPr="005F32DE">
        <w:rPr>
          <w:rFonts w:ascii="Trebuchet MS" w:hAnsi="Trebuchet MS"/>
          <w:bCs/>
          <w:sz w:val="20"/>
          <w:szCs w:val="20"/>
        </w:rPr>
        <w:t xml:space="preserve"> alternatiivset maksevahendit</w:t>
      </w:r>
      <w:r w:rsidR="00677090">
        <w:rPr>
          <w:rFonts w:ascii="Trebuchet MS" w:hAnsi="Trebuchet MS"/>
          <w:bCs/>
          <w:sz w:val="20"/>
          <w:szCs w:val="20"/>
        </w:rPr>
        <w:t xml:space="preserve"> RahaPTS § 6 tähenduses</w:t>
      </w:r>
      <w:r w:rsidR="0005646B" w:rsidRPr="005F32DE">
        <w:rPr>
          <w:rFonts w:ascii="Trebuchet MS" w:hAnsi="Trebuchet MS"/>
          <w:bCs/>
          <w:sz w:val="20"/>
          <w:szCs w:val="20"/>
        </w:rPr>
        <w:t>,</w:t>
      </w:r>
      <w:r w:rsidR="00B83F9B" w:rsidRPr="005F32DE">
        <w:rPr>
          <w:rFonts w:ascii="Trebuchet MS" w:hAnsi="Trebuchet MS"/>
          <w:bCs/>
          <w:sz w:val="20"/>
          <w:szCs w:val="20"/>
        </w:rPr>
        <w:t xml:space="preserve"> ning</w:t>
      </w:r>
      <w:r w:rsidRPr="005F32DE">
        <w:rPr>
          <w:rFonts w:ascii="Trebuchet MS" w:hAnsi="Trebuchet MS"/>
          <w:bCs/>
          <w:sz w:val="20"/>
          <w:szCs w:val="20"/>
        </w:rPr>
        <w:t xml:space="preserve"> ka IMF ei ole tõdenud, et virtuaal- ja krüptoraha puhul on tegemist alt</w:t>
      </w:r>
      <w:r w:rsidR="00B83F9B" w:rsidRPr="005F32DE">
        <w:rPr>
          <w:rFonts w:ascii="Trebuchet MS" w:hAnsi="Trebuchet MS"/>
          <w:bCs/>
          <w:sz w:val="20"/>
          <w:szCs w:val="20"/>
        </w:rPr>
        <w:t>ernatiivse maksevahendiga, on arusaamatu, kuidas on r</w:t>
      </w:r>
      <w:r w:rsidRPr="005F32DE">
        <w:rPr>
          <w:rFonts w:ascii="Trebuchet MS" w:hAnsi="Trebuchet MS"/>
          <w:bCs/>
          <w:sz w:val="20"/>
          <w:szCs w:val="20"/>
        </w:rPr>
        <w:t xml:space="preserve">ingkonnakohus jõudnud </w:t>
      </w:r>
      <w:r w:rsidR="00677090">
        <w:rPr>
          <w:rFonts w:ascii="Trebuchet MS" w:hAnsi="Trebuchet MS"/>
          <w:bCs/>
          <w:sz w:val="20"/>
          <w:szCs w:val="20"/>
        </w:rPr>
        <w:t xml:space="preserve">haldussunni õiguspärasuse hindamisel </w:t>
      </w:r>
      <w:r w:rsidRPr="005F32DE">
        <w:rPr>
          <w:rFonts w:ascii="Trebuchet MS" w:hAnsi="Trebuchet MS"/>
          <w:bCs/>
          <w:sz w:val="20"/>
          <w:szCs w:val="20"/>
        </w:rPr>
        <w:t xml:space="preserve">seisukohale, et virtuaal- ja krüptorahad </w:t>
      </w:r>
      <w:r w:rsidR="0005646B" w:rsidRPr="005F32DE">
        <w:rPr>
          <w:rFonts w:ascii="Trebuchet MS" w:hAnsi="Trebuchet MS"/>
          <w:bCs/>
          <w:sz w:val="20"/>
          <w:szCs w:val="20"/>
        </w:rPr>
        <w:t xml:space="preserve">on „paigutatavad“ </w:t>
      </w:r>
      <w:r w:rsidRPr="005F32DE">
        <w:rPr>
          <w:rFonts w:ascii="Trebuchet MS" w:hAnsi="Trebuchet MS"/>
          <w:bCs/>
          <w:sz w:val="20"/>
          <w:szCs w:val="20"/>
        </w:rPr>
        <w:t>alternatiivse maksevahendi definitsiooni all</w:t>
      </w:r>
      <w:r w:rsidR="0091411C" w:rsidRPr="005F32DE">
        <w:rPr>
          <w:rFonts w:ascii="Trebuchet MS" w:hAnsi="Trebuchet MS"/>
          <w:bCs/>
          <w:sz w:val="20"/>
          <w:szCs w:val="20"/>
        </w:rPr>
        <w:t>a RahaPTS § 6 lg 4 tähenduses, a</w:t>
      </w:r>
      <w:r w:rsidRPr="005F32DE">
        <w:rPr>
          <w:rFonts w:ascii="Trebuchet MS" w:hAnsi="Trebuchet MS"/>
          <w:bCs/>
          <w:sz w:val="20"/>
          <w:szCs w:val="20"/>
        </w:rPr>
        <w:t xml:space="preserve">rvestades, et </w:t>
      </w:r>
      <w:r w:rsidR="00677090">
        <w:rPr>
          <w:rFonts w:ascii="Trebuchet MS" w:hAnsi="Trebuchet MS"/>
          <w:bCs/>
          <w:sz w:val="20"/>
          <w:szCs w:val="20"/>
        </w:rPr>
        <w:t>IMF-i ja FATF-i seisukohti</w:t>
      </w:r>
      <w:r w:rsidR="00B83F9B" w:rsidRPr="005F32DE">
        <w:rPr>
          <w:rFonts w:ascii="Trebuchet MS" w:hAnsi="Trebuchet MS"/>
          <w:bCs/>
          <w:sz w:val="20"/>
          <w:szCs w:val="20"/>
        </w:rPr>
        <w:t xml:space="preserve"> </w:t>
      </w:r>
      <w:r w:rsidR="00B12F7B" w:rsidRPr="005F32DE">
        <w:rPr>
          <w:rFonts w:ascii="Trebuchet MS" w:hAnsi="Trebuchet MS"/>
          <w:bCs/>
          <w:sz w:val="20"/>
          <w:szCs w:val="20"/>
        </w:rPr>
        <w:t xml:space="preserve">on </w:t>
      </w:r>
      <w:r w:rsidR="00677090">
        <w:rPr>
          <w:rFonts w:ascii="Trebuchet MS" w:hAnsi="Trebuchet MS"/>
          <w:bCs/>
          <w:sz w:val="20"/>
          <w:szCs w:val="20"/>
        </w:rPr>
        <w:t xml:space="preserve">väidetavalt </w:t>
      </w:r>
      <w:r w:rsidR="00B12F7B" w:rsidRPr="005F32DE">
        <w:rPr>
          <w:rFonts w:ascii="Trebuchet MS" w:hAnsi="Trebuchet MS"/>
          <w:bCs/>
          <w:sz w:val="20"/>
          <w:szCs w:val="20"/>
        </w:rPr>
        <w:t>võetud aluseks</w:t>
      </w:r>
      <w:r w:rsidR="003C5625" w:rsidRPr="005F32DE">
        <w:rPr>
          <w:rFonts w:ascii="Trebuchet MS" w:hAnsi="Trebuchet MS"/>
          <w:bCs/>
          <w:sz w:val="20"/>
          <w:szCs w:val="20"/>
        </w:rPr>
        <w:t xml:space="preserve"> alternatiivse maksevahendi mõiste </w:t>
      </w:r>
      <w:r w:rsidR="00677090">
        <w:rPr>
          <w:rFonts w:ascii="Trebuchet MS" w:hAnsi="Trebuchet MS"/>
          <w:bCs/>
          <w:sz w:val="20"/>
          <w:szCs w:val="20"/>
        </w:rPr>
        <w:t>loomisel</w:t>
      </w:r>
      <w:r w:rsidR="00496A21">
        <w:rPr>
          <w:rFonts w:ascii="Trebuchet MS" w:hAnsi="Trebuchet MS"/>
          <w:bCs/>
          <w:sz w:val="20"/>
          <w:szCs w:val="20"/>
        </w:rPr>
        <w:t xml:space="preserve"> 2007. a vastu võetud RahaPTS-s</w:t>
      </w:r>
      <w:r w:rsidR="00B12F7B" w:rsidRPr="005F32DE">
        <w:rPr>
          <w:rFonts w:ascii="Trebuchet MS" w:hAnsi="Trebuchet MS"/>
          <w:bCs/>
          <w:sz w:val="20"/>
          <w:szCs w:val="20"/>
        </w:rPr>
        <w:t>.</w:t>
      </w:r>
    </w:p>
    <w:p w14:paraId="7F7CAE75" w14:textId="77777777" w:rsidR="004C2C41" w:rsidRPr="005F32DE" w:rsidRDefault="004C2C41" w:rsidP="00B83F9B">
      <w:pPr>
        <w:tabs>
          <w:tab w:val="num" w:pos="709"/>
        </w:tabs>
        <w:autoSpaceDE w:val="0"/>
        <w:autoSpaceDN w:val="0"/>
        <w:adjustRightInd w:val="0"/>
        <w:spacing w:line="276" w:lineRule="auto"/>
        <w:rPr>
          <w:bCs/>
          <w:szCs w:val="20"/>
          <w:lang w:val="et-EE"/>
        </w:rPr>
      </w:pPr>
    </w:p>
    <w:p w14:paraId="0E71FC0A" w14:textId="160265BC" w:rsidR="009C6688" w:rsidRPr="005F32DE" w:rsidRDefault="00B83F9B"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Kaebaja ei nõustu r</w:t>
      </w:r>
      <w:r w:rsidR="00D56AFF" w:rsidRPr="005F32DE">
        <w:rPr>
          <w:rFonts w:ascii="Trebuchet MS" w:hAnsi="Trebuchet MS"/>
          <w:bCs/>
          <w:sz w:val="20"/>
          <w:szCs w:val="20"/>
        </w:rPr>
        <w:t>ingkonnakohtu seisukohaga, et alternatiivse maksevahe</w:t>
      </w:r>
      <w:r w:rsidR="00496A21">
        <w:rPr>
          <w:rFonts w:ascii="Trebuchet MS" w:hAnsi="Trebuchet MS"/>
          <w:bCs/>
          <w:sz w:val="20"/>
          <w:szCs w:val="20"/>
        </w:rPr>
        <w:t>ndi</w:t>
      </w:r>
      <w:r w:rsidR="00D56AFF" w:rsidRPr="005F32DE">
        <w:rPr>
          <w:rFonts w:ascii="Trebuchet MS" w:hAnsi="Trebuchet MS"/>
          <w:bCs/>
          <w:sz w:val="20"/>
          <w:szCs w:val="20"/>
        </w:rPr>
        <w:t xml:space="preserve"> teenuse pakkujate hõlmamisele eelnenud RAB ja Finantsinspektsiooni poolt läbiviidud riskianalüüs laieneb ka virtuaal- ja krüptorahadele. </w:t>
      </w:r>
      <w:r w:rsidR="00C37D25" w:rsidRPr="005F32DE">
        <w:rPr>
          <w:rFonts w:ascii="Trebuchet MS" w:hAnsi="Trebuchet MS"/>
          <w:bCs/>
          <w:sz w:val="20"/>
          <w:szCs w:val="20"/>
        </w:rPr>
        <w:t>A</w:t>
      </w:r>
      <w:r w:rsidR="00D56AFF" w:rsidRPr="005F32DE">
        <w:rPr>
          <w:rFonts w:ascii="Trebuchet MS" w:hAnsi="Trebuchet MS"/>
          <w:bCs/>
          <w:sz w:val="20"/>
          <w:szCs w:val="20"/>
        </w:rPr>
        <w:t>nalüüsi koostamise ajal ei eksisteerinud midagi sarnast bitcoinidele</w:t>
      </w:r>
      <w:r w:rsidR="00F351A9" w:rsidRPr="005F32DE">
        <w:rPr>
          <w:rFonts w:ascii="Trebuchet MS" w:hAnsi="Trebuchet MS"/>
          <w:bCs/>
          <w:sz w:val="20"/>
          <w:szCs w:val="20"/>
        </w:rPr>
        <w:t xml:space="preserve"> ega virtuaal- ja krüptorahade aluseks olevale </w:t>
      </w:r>
      <w:r w:rsidR="00F351A9" w:rsidRPr="005F32DE">
        <w:rPr>
          <w:rFonts w:ascii="Trebuchet MS" w:hAnsi="Trebuchet MS"/>
          <w:bCs/>
          <w:i/>
          <w:sz w:val="20"/>
          <w:szCs w:val="20"/>
        </w:rPr>
        <w:t>blockchain</w:t>
      </w:r>
      <w:r w:rsidRPr="005F32DE">
        <w:rPr>
          <w:rFonts w:ascii="Trebuchet MS" w:hAnsi="Trebuchet MS"/>
          <w:bCs/>
          <w:sz w:val="20"/>
          <w:szCs w:val="20"/>
        </w:rPr>
        <w:t xml:space="preserve"> süsteemile ning</w:t>
      </w:r>
      <w:r w:rsidR="00F351A9" w:rsidRPr="005F32DE">
        <w:rPr>
          <w:rFonts w:ascii="Trebuchet MS" w:hAnsi="Trebuchet MS"/>
          <w:bCs/>
          <w:sz w:val="20"/>
          <w:szCs w:val="20"/>
        </w:rPr>
        <w:t xml:space="preserve"> ka hetkel ei eksisteeri virtuaal- ja krüptorahadele sarnaseid süsteeme</w:t>
      </w:r>
      <w:r w:rsidR="00C37D25" w:rsidRPr="005F32DE">
        <w:rPr>
          <w:rFonts w:ascii="Trebuchet MS" w:hAnsi="Trebuchet MS"/>
          <w:bCs/>
          <w:sz w:val="20"/>
          <w:szCs w:val="20"/>
        </w:rPr>
        <w:t xml:space="preserve"> - ei saa prognoosida millegi olemust, kui sellise asja võimalikkust ei osata isegi ette näha</w:t>
      </w:r>
      <w:r w:rsidR="00AC2819" w:rsidRPr="005F32DE">
        <w:rPr>
          <w:rFonts w:ascii="Trebuchet MS" w:hAnsi="Trebuchet MS"/>
          <w:bCs/>
          <w:sz w:val="20"/>
          <w:szCs w:val="20"/>
        </w:rPr>
        <w:t xml:space="preserve">. Seda kinnitab </w:t>
      </w:r>
      <w:r w:rsidRPr="005F32DE">
        <w:rPr>
          <w:rFonts w:ascii="Trebuchet MS" w:hAnsi="Trebuchet MS"/>
          <w:bCs/>
          <w:sz w:val="20"/>
          <w:szCs w:val="20"/>
        </w:rPr>
        <w:t xml:space="preserve">kasvõi </w:t>
      </w:r>
      <w:r w:rsidR="00AC2819" w:rsidRPr="005F32DE">
        <w:rPr>
          <w:rFonts w:ascii="Trebuchet MS" w:hAnsi="Trebuchet MS"/>
          <w:bCs/>
          <w:sz w:val="20"/>
          <w:szCs w:val="20"/>
        </w:rPr>
        <w:t xml:space="preserve">asjaolu, et </w:t>
      </w:r>
      <w:r w:rsidRPr="005F32DE">
        <w:rPr>
          <w:rFonts w:ascii="Trebuchet MS" w:hAnsi="Trebuchet MS"/>
          <w:bCs/>
          <w:sz w:val="20"/>
          <w:szCs w:val="20"/>
        </w:rPr>
        <w:t xml:space="preserve">tänaseni </w:t>
      </w:r>
      <w:r w:rsidR="00AC2819" w:rsidRPr="005F32DE">
        <w:rPr>
          <w:rFonts w:ascii="Trebuchet MS" w:hAnsi="Trebuchet MS"/>
          <w:bCs/>
          <w:sz w:val="20"/>
          <w:szCs w:val="20"/>
        </w:rPr>
        <w:t>ei</w:t>
      </w:r>
      <w:r w:rsidRPr="005F32DE">
        <w:rPr>
          <w:rFonts w:ascii="Trebuchet MS" w:hAnsi="Trebuchet MS"/>
          <w:bCs/>
          <w:sz w:val="20"/>
          <w:szCs w:val="20"/>
        </w:rPr>
        <w:t xml:space="preserve"> ole suudetud võtta seisukohta virtuaal- ja krüptorahade õigusliku klassifitseerimise osas, st</w:t>
      </w:r>
      <w:r w:rsidR="00AC2819" w:rsidRPr="005F32DE">
        <w:rPr>
          <w:rFonts w:ascii="Trebuchet MS" w:hAnsi="Trebuchet MS"/>
          <w:bCs/>
          <w:sz w:val="20"/>
          <w:szCs w:val="20"/>
        </w:rPr>
        <w:t xml:space="preserve"> puudub arusaam virtuaal- ja krüptorahade süsteemi täpse olemuse osas</w:t>
      </w:r>
      <w:r w:rsidR="00F351A9" w:rsidRPr="005F32DE">
        <w:rPr>
          <w:rFonts w:ascii="Trebuchet MS" w:hAnsi="Trebuchet MS"/>
          <w:bCs/>
          <w:sz w:val="20"/>
          <w:szCs w:val="20"/>
        </w:rPr>
        <w:t>.</w:t>
      </w:r>
      <w:r w:rsidR="00AC2819" w:rsidRPr="005F32DE">
        <w:rPr>
          <w:rFonts w:ascii="Trebuchet MS" w:hAnsi="Trebuchet MS"/>
          <w:bCs/>
          <w:sz w:val="20"/>
          <w:szCs w:val="20"/>
        </w:rPr>
        <w:t xml:space="preserve"> Seetõttu oleks vaja nende kohta koostada eraldi riskianalüüs</w:t>
      </w:r>
      <w:r w:rsidR="00C37D25" w:rsidRPr="005F32DE">
        <w:rPr>
          <w:rFonts w:ascii="Trebuchet MS" w:hAnsi="Trebuchet MS"/>
          <w:bCs/>
          <w:sz w:val="20"/>
          <w:szCs w:val="20"/>
        </w:rPr>
        <w:t>, täitmaks</w:t>
      </w:r>
      <w:r w:rsidR="00573A2A" w:rsidRPr="005F32DE">
        <w:rPr>
          <w:rFonts w:ascii="Trebuchet MS" w:hAnsi="Trebuchet MS"/>
          <w:bCs/>
          <w:sz w:val="20"/>
          <w:szCs w:val="20"/>
        </w:rPr>
        <w:t xml:space="preserve"> tekkinud tühikud ja luua selgus õiguskorras</w:t>
      </w:r>
      <w:r w:rsidR="00AC2819" w:rsidRPr="005F32DE">
        <w:rPr>
          <w:rFonts w:ascii="Trebuchet MS" w:hAnsi="Trebuchet MS"/>
          <w:bCs/>
          <w:sz w:val="20"/>
          <w:szCs w:val="20"/>
        </w:rPr>
        <w:t>.</w:t>
      </w:r>
      <w:r w:rsidR="00F351A9" w:rsidRPr="005F32DE">
        <w:rPr>
          <w:rFonts w:ascii="Trebuchet MS" w:hAnsi="Trebuchet MS"/>
          <w:bCs/>
          <w:sz w:val="20"/>
          <w:szCs w:val="20"/>
        </w:rPr>
        <w:t xml:space="preserve"> </w:t>
      </w:r>
      <w:r w:rsidR="00AC2819" w:rsidRPr="005F32DE">
        <w:rPr>
          <w:rFonts w:ascii="Trebuchet MS" w:hAnsi="Trebuchet MS"/>
          <w:bCs/>
          <w:sz w:val="20"/>
          <w:szCs w:val="20"/>
        </w:rPr>
        <w:t>Tulenevalt eelnevast</w:t>
      </w:r>
      <w:r w:rsidR="00F351A9" w:rsidRPr="005F32DE">
        <w:rPr>
          <w:rFonts w:ascii="Trebuchet MS" w:hAnsi="Trebuchet MS"/>
          <w:bCs/>
          <w:sz w:val="20"/>
          <w:szCs w:val="20"/>
        </w:rPr>
        <w:t xml:space="preserve"> ei ole tõendatud, miks ja kuidas võidakse bitcoine eriti tõenäoliselt kasutada rahapesu</w:t>
      </w:r>
      <w:r w:rsidR="00A6785F" w:rsidRPr="005F32DE">
        <w:rPr>
          <w:rFonts w:ascii="Trebuchet MS" w:hAnsi="Trebuchet MS"/>
          <w:bCs/>
          <w:sz w:val="20"/>
          <w:szCs w:val="20"/>
        </w:rPr>
        <w:t>ks</w:t>
      </w:r>
      <w:r w:rsidR="00953718" w:rsidRPr="005F32DE">
        <w:rPr>
          <w:rFonts w:ascii="Trebuchet MS" w:hAnsi="Trebuchet MS"/>
          <w:bCs/>
          <w:sz w:val="20"/>
          <w:szCs w:val="20"/>
        </w:rPr>
        <w:t>, millest tulenevalt</w:t>
      </w:r>
      <w:r w:rsidR="00F351A9" w:rsidRPr="005F32DE">
        <w:rPr>
          <w:rFonts w:ascii="Trebuchet MS" w:hAnsi="Trebuchet MS"/>
          <w:bCs/>
          <w:sz w:val="20"/>
          <w:szCs w:val="20"/>
        </w:rPr>
        <w:t xml:space="preserve"> ei ole täidetud </w:t>
      </w:r>
      <w:r w:rsidR="00C37D25" w:rsidRPr="005F32DE">
        <w:rPr>
          <w:rFonts w:ascii="Trebuchet MS" w:hAnsi="Trebuchet MS"/>
          <w:bCs/>
          <w:sz w:val="20"/>
          <w:szCs w:val="20"/>
        </w:rPr>
        <w:t xml:space="preserve">kohustatud subjektide ringi </w:t>
      </w:r>
      <w:r w:rsidR="00F351A9" w:rsidRPr="005F32DE">
        <w:rPr>
          <w:rFonts w:ascii="Trebuchet MS" w:hAnsi="Trebuchet MS"/>
          <w:bCs/>
          <w:sz w:val="20"/>
          <w:szCs w:val="20"/>
        </w:rPr>
        <w:t>laiendamise aluseks olevad tingimused</w:t>
      </w:r>
      <w:r w:rsidR="00D33E80" w:rsidRPr="005F32DE">
        <w:rPr>
          <w:rFonts w:ascii="Trebuchet MS" w:hAnsi="Trebuchet MS"/>
          <w:bCs/>
          <w:sz w:val="20"/>
          <w:szCs w:val="20"/>
        </w:rPr>
        <w:t>. Samas on k</w:t>
      </w:r>
      <w:r w:rsidR="00AC2819" w:rsidRPr="005F32DE">
        <w:rPr>
          <w:rFonts w:ascii="Trebuchet MS" w:hAnsi="Trebuchet MS"/>
          <w:bCs/>
          <w:sz w:val="20"/>
          <w:szCs w:val="20"/>
        </w:rPr>
        <w:t xml:space="preserve">aebaja </w:t>
      </w:r>
      <w:r w:rsidR="00C37D25" w:rsidRPr="005F32DE">
        <w:rPr>
          <w:rFonts w:ascii="Trebuchet MS" w:hAnsi="Trebuchet MS"/>
          <w:bCs/>
          <w:sz w:val="20"/>
          <w:szCs w:val="20"/>
        </w:rPr>
        <w:t xml:space="preserve">kohtumenetluses </w:t>
      </w:r>
      <w:r w:rsidR="00AC2819" w:rsidRPr="005F32DE">
        <w:rPr>
          <w:rFonts w:ascii="Trebuchet MS" w:hAnsi="Trebuchet MS"/>
          <w:bCs/>
          <w:sz w:val="20"/>
          <w:szCs w:val="20"/>
        </w:rPr>
        <w:t>välja toonud</w:t>
      </w:r>
      <w:r w:rsidR="00C37D25" w:rsidRPr="005F32DE">
        <w:rPr>
          <w:rFonts w:ascii="Trebuchet MS" w:hAnsi="Trebuchet MS"/>
          <w:bCs/>
          <w:sz w:val="20"/>
          <w:szCs w:val="20"/>
        </w:rPr>
        <w:t xml:space="preserve"> asjaolud ja põhjendused</w:t>
      </w:r>
      <w:r w:rsidR="00AC2819" w:rsidRPr="005F32DE">
        <w:rPr>
          <w:rFonts w:ascii="Trebuchet MS" w:hAnsi="Trebuchet MS"/>
          <w:bCs/>
          <w:sz w:val="20"/>
          <w:szCs w:val="20"/>
        </w:rPr>
        <w:t xml:space="preserve">, miks ei saa virtuaal- ja krüptoraha </w:t>
      </w:r>
      <w:r w:rsidR="00496A21">
        <w:rPr>
          <w:rFonts w:ascii="Trebuchet MS" w:hAnsi="Trebuchet MS"/>
          <w:bCs/>
          <w:sz w:val="20"/>
          <w:szCs w:val="20"/>
        </w:rPr>
        <w:t>„</w:t>
      </w:r>
      <w:r w:rsidR="00AC2819" w:rsidRPr="005F32DE">
        <w:rPr>
          <w:rFonts w:ascii="Trebuchet MS" w:hAnsi="Trebuchet MS"/>
          <w:bCs/>
          <w:sz w:val="20"/>
          <w:szCs w:val="20"/>
        </w:rPr>
        <w:t>eriti tõenäoliselt kasutada rahapesu ja terrorismi rahasta</w:t>
      </w:r>
      <w:r w:rsidR="00496A21">
        <w:rPr>
          <w:rFonts w:ascii="Trebuchet MS" w:hAnsi="Trebuchet MS"/>
          <w:bCs/>
          <w:sz w:val="20"/>
          <w:szCs w:val="20"/>
        </w:rPr>
        <w:t>mise eesmärkidel“</w:t>
      </w:r>
      <w:r w:rsidR="009C0DF6" w:rsidRPr="005F32DE">
        <w:rPr>
          <w:rFonts w:ascii="Trebuchet MS" w:hAnsi="Trebuchet MS"/>
          <w:bCs/>
          <w:sz w:val="20"/>
          <w:szCs w:val="20"/>
        </w:rPr>
        <w:t xml:space="preserve"> (vt </w:t>
      </w:r>
      <w:r w:rsidR="00201BE5" w:rsidRPr="005F32DE">
        <w:rPr>
          <w:rFonts w:ascii="Trebuchet MS" w:hAnsi="Trebuchet MS"/>
          <w:bCs/>
          <w:sz w:val="20"/>
          <w:szCs w:val="20"/>
        </w:rPr>
        <w:t xml:space="preserve">ka </w:t>
      </w:r>
      <w:r w:rsidR="00C37D25" w:rsidRPr="005F32DE">
        <w:rPr>
          <w:rFonts w:ascii="Trebuchet MS" w:hAnsi="Trebuchet MS"/>
          <w:bCs/>
          <w:sz w:val="20"/>
          <w:szCs w:val="20"/>
        </w:rPr>
        <w:t>kassatsioonkaebuse p 3.1</w:t>
      </w:r>
      <w:r w:rsidR="00AC2819" w:rsidRPr="005F32DE">
        <w:rPr>
          <w:rFonts w:ascii="Trebuchet MS" w:hAnsi="Trebuchet MS"/>
          <w:bCs/>
          <w:sz w:val="20"/>
          <w:szCs w:val="20"/>
        </w:rPr>
        <w:t>.</w:t>
      </w:r>
      <w:r w:rsidR="00C37D25" w:rsidRPr="005F32DE">
        <w:rPr>
          <w:rFonts w:ascii="Trebuchet MS" w:hAnsi="Trebuchet MS"/>
          <w:bCs/>
          <w:sz w:val="20"/>
          <w:szCs w:val="20"/>
        </w:rPr>
        <w:t>8</w:t>
      </w:r>
      <w:r w:rsidR="00AC2819" w:rsidRPr="005F32DE">
        <w:rPr>
          <w:rFonts w:ascii="Trebuchet MS" w:hAnsi="Trebuchet MS"/>
          <w:bCs/>
          <w:sz w:val="20"/>
          <w:szCs w:val="20"/>
        </w:rPr>
        <w:t>).</w:t>
      </w:r>
    </w:p>
    <w:p w14:paraId="0EE80251" w14:textId="77777777" w:rsidR="004C2C41" w:rsidRPr="005F32DE" w:rsidRDefault="004C2C41" w:rsidP="004C2C41">
      <w:pPr>
        <w:tabs>
          <w:tab w:val="num" w:pos="709"/>
        </w:tabs>
        <w:autoSpaceDE w:val="0"/>
        <w:autoSpaceDN w:val="0"/>
        <w:adjustRightInd w:val="0"/>
        <w:spacing w:line="276" w:lineRule="auto"/>
        <w:ind w:left="142"/>
        <w:rPr>
          <w:bCs/>
          <w:szCs w:val="20"/>
          <w:lang w:val="et-EE"/>
        </w:rPr>
      </w:pPr>
    </w:p>
    <w:p w14:paraId="79BDCC3F" w14:textId="0B21A980" w:rsidR="00D33E80" w:rsidRPr="005F32DE" w:rsidRDefault="00D33E80" w:rsidP="002F6E44">
      <w:pPr>
        <w:pStyle w:val="ListParagraph"/>
        <w:numPr>
          <w:ilvl w:val="2"/>
          <w:numId w:val="27"/>
        </w:numPr>
        <w:autoSpaceDE w:val="0"/>
        <w:autoSpaceDN w:val="0"/>
        <w:adjustRightInd w:val="0"/>
        <w:spacing w:line="276" w:lineRule="auto"/>
        <w:ind w:left="709" w:hanging="709"/>
        <w:rPr>
          <w:rFonts w:ascii="Trebuchet MS" w:hAnsi="Trebuchet MS"/>
          <w:bCs/>
          <w:sz w:val="20"/>
          <w:szCs w:val="20"/>
        </w:rPr>
      </w:pPr>
      <w:r w:rsidRPr="005F32DE">
        <w:rPr>
          <w:rFonts w:ascii="Trebuchet MS" w:hAnsi="Trebuchet MS"/>
          <w:bCs/>
          <w:sz w:val="20"/>
          <w:szCs w:val="20"/>
        </w:rPr>
        <w:t xml:space="preserve">Kaebaja on jätkuvalt seisukohal, et bitcoinide ostu- ja müügitegevus ei ole selline ala, mida võidakse „eriti tõenäoliselt kasutada rahapesu ja terrorismi rahastamise eesmärkidel“, ning selle väite põhistamiseks rõhutasime nii haldus- kui ka ringkonnakohtus järgnevaid olulisi asjaolusid, tuginedes muuhulgas Eesti Panga </w:t>
      </w:r>
      <w:r w:rsidRPr="005F32DE">
        <w:rPr>
          <w:rFonts w:ascii="Trebuchet MS" w:hAnsi="Trebuchet MS"/>
          <w:color w:val="000000"/>
          <w:sz w:val="20"/>
          <w:szCs w:val="20"/>
        </w:rPr>
        <w:t>andmetele</w:t>
      </w:r>
      <w:r w:rsidRPr="005F32DE">
        <w:rPr>
          <w:rStyle w:val="FootnoteReference"/>
          <w:rFonts w:ascii="Trebuchet MS" w:hAnsi="Trebuchet MS"/>
          <w:color w:val="000000"/>
          <w:sz w:val="20"/>
          <w:szCs w:val="20"/>
        </w:rPr>
        <w:footnoteReference w:id="7"/>
      </w:r>
      <w:r w:rsidRPr="005F32DE">
        <w:rPr>
          <w:rFonts w:ascii="Trebuchet MS" w:hAnsi="Trebuchet MS"/>
          <w:color w:val="000000"/>
          <w:sz w:val="20"/>
          <w:szCs w:val="20"/>
        </w:rPr>
        <w:t>:</w:t>
      </w:r>
    </w:p>
    <w:p w14:paraId="1C815CD5" w14:textId="77777777" w:rsidR="00D33E80" w:rsidRPr="005F32DE" w:rsidRDefault="00D33E80" w:rsidP="002F6E44">
      <w:pPr>
        <w:pStyle w:val="ListParagraph"/>
        <w:numPr>
          <w:ilvl w:val="3"/>
          <w:numId w:val="27"/>
        </w:numPr>
        <w:autoSpaceDE w:val="0"/>
        <w:autoSpaceDN w:val="0"/>
        <w:adjustRightInd w:val="0"/>
        <w:spacing w:line="276" w:lineRule="auto"/>
        <w:ind w:left="1418" w:hanging="709"/>
        <w:rPr>
          <w:rFonts w:ascii="Trebuchet MS" w:hAnsi="Trebuchet MS"/>
          <w:bCs/>
          <w:sz w:val="20"/>
          <w:szCs w:val="20"/>
        </w:rPr>
      </w:pPr>
      <w:r w:rsidRPr="005F32DE">
        <w:rPr>
          <w:rFonts w:ascii="Trebuchet MS" w:hAnsi="Trebuchet MS"/>
          <w:b/>
          <w:bCs/>
          <w:sz w:val="20"/>
          <w:szCs w:val="20"/>
        </w:rPr>
        <w:t>bitcoinide turumaht on marginaalne</w:t>
      </w:r>
      <w:r w:rsidRPr="005F32DE">
        <w:rPr>
          <w:rFonts w:ascii="Trebuchet MS" w:hAnsi="Trebuchet MS"/>
          <w:bCs/>
          <w:sz w:val="20"/>
          <w:szCs w:val="20"/>
        </w:rPr>
        <w:t xml:space="preserve"> – virtuaalrahade, millest bitcoinid moodustavad 90%, turumaht on hinnanguliselt kokku ca 4,3 miljardit eurot, mis moodustab kogu euroala laiast rahapakkumisest (2014. a märtsikuu seisuga 9893 triljonit eurot) kokku vaid 0,04%;</w:t>
      </w:r>
    </w:p>
    <w:p w14:paraId="445B8F59" w14:textId="77777777" w:rsidR="00D33E80" w:rsidRPr="005F32DE" w:rsidRDefault="00D33E80" w:rsidP="002F6E44">
      <w:pPr>
        <w:pStyle w:val="ListParagraph"/>
        <w:numPr>
          <w:ilvl w:val="3"/>
          <w:numId w:val="27"/>
        </w:numPr>
        <w:autoSpaceDE w:val="0"/>
        <w:autoSpaceDN w:val="0"/>
        <w:adjustRightInd w:val="0"/>
        <w:spacing w:line="276" w:lineRule="auto"/>
        <w:ind w:left="1418" w:hanging="709"/>
        <w:rPr>
          <w:rFonts w:ascii="Trebuchet MS" w:hAnsi="Trebuchet MS"/>
          <w:bCs/>
          <w:sz w:val="20"/>
          <w:szCs w:val="20"/>
        </w:rPr>
      </w:pPr>
      <w:r w:rsidRPr="005F32DE">
        <w:rPr>
          <w:rFonts w:ascii="Trebuchet MS" w:hAnsi="Trebuchet MS"/>
          <w:b/>
          <w:bCs/>
          <w:sz w:val="20"/>
          <w:szCs w:val="20"/>
        </w:rPr>
        <w:t>bitcoinidega tehtavaid makseid on väga vähe</w:t>
      </w:r>
      <w:r w:rsidRPr="005F32DE">
        <w:rPr>
          <w:rFonts w:ascii="Trebuchet MS" w:hAnsi="Trebuchet MS"/>
          <w:bCs/>
          <w:sz w:val="20"/>
          <w:szCs w:val="20"/>
        </w:rPr>
        <w:t xml:space="preserve"> - bitcoinidega tehakse tehinguid ca 60-70 000 ööpäevas, mis moodustab kogu euroala jaemaksetest kokku 0,03%;  </w:t>
      </w:r>
    </w:p>
    <w:p w14:paraId="2497C53B" w14:textId="77777777" w:rsidR="00D33E80" w:rsidRPr="005F32DE" w:rsidRDefault="00D33E80" w:rsidP="002F6E44">
      <w:pPr>
        <w:pStyle w:val="ListParagraph"/>
        <w:numPr>
          <w:ilvl w:val="3"/>
          <w:numId w:val="27"/>
        </w:numPr>
        <w:autoSpaceDE w:val="0"/>
        <w:autoSpaceDN w:val="0"/>
        <w:adjustRightInd w:val="0"/>
        <w:spacing w:line="276" w:lineRule="auto"/>
        <w:ind w:left="1418" w:hanging="709"/>
        <w:rPr>
          <w:rFonts w:ascii="Trebuchet MS" w:hAnsi="Trebuchet MS"/>
          <w:bCs/>
          <w:sz w:val="20"/>
          <w:szCs w:val="20"/>
        </w:rPr>
      </w:pPr>
      <w:r w:rsidRPr="005F32DE">
        <w:rPr>
          <w:rFonts w:ascii="Trebuchet MS" w:hAnsi="Trebuchet MS"/>
          <w:b/>
          <w:bCs/>
          <w:sz w:val="20"/>
          <w:szCs w:val="20"/>
        </w:rPr>
        <w:t>bitcoinide koguarv on piiratud</w:t>
      </w:r>
      <w:r w:rsidRPr="005F32DE">
        <w:rPr>
          <w:rFonts w:ascii="Trebuchet MS" w:hAnsi="Trebuchet MS"/>
          <w:bCs/>
          <w:sz w:val="20"/>
          <w:szCs w:val="20"/>
        </w:rPr>
        <w:t xml:space="preserve"> 21 miljoni bitcoiniga;</w:t>
      </w:r>
    </w:p>
    <w:p w14:paraId="705C9E15" w14:textId="07062DA0" w:rsidR="00D33E80" w:rsidRPr="005F32DE" w:rsidRDefault="00D33E80" w:rsidP="002F6E44">
      <w:pPr>
        <w:pStyle w:val="ListParagraph"/>
        <w:numPr>
          <w:ilvl w:val="3"/>
          <w:numId w:val="27"/>
        </w:numPr>
        <w:autoSpaceDE w:val="0"/>
        <w:autoSpaceDN w:val="0"/>
        <w:adjustRightInd w:val="0"/>
        <w:spacing w:line="276" w:lineRule="auto"/>
        <w:ind w:left="1418" w:hanging="709"/>
        <w:rPr>
          <w:bCs/>
          <w:szCs w:val="20"/>
        </w:rPr>
      </w:pPr>
      <w:r w:rsidRPr="005F32DE">
        <w:rPr>
          <w:rFonts w:ascii="Trebuchet MS" w:hAnsi="Trebuchet MS"/>
          <w:b/>
          <w:bCs/>
          <w:sz w:val="20"/>
          <w:szCs w:val="20"/>
        </w:rPr>
        <w:t>Bitcoini süsteem (s.o tarkvara ja sellel baseeruv võrgustik) on läbipaistev</w:t>
      </w:r>
      <w:r w:rsidR="00C37D25" w:rsidRPr="005F32DE">
        <w:rPr>
          <w:rFonts w:ascii="Trebuchet MS" w:hAnsi="Trebuchet MS"/>
          <w:bCs/>
          <w:sz w:val="20"/>
          <w:szCs w:val="20"/>
        </w:rPr>
        <w:t xml:space="preserve"> - </w:t>
      </w:r>
      <w:r w:rsidR="000E35D2" w:rsidRPr="005F32DE">
        <w:rPr>
          <w:rFonts w:ascii="Trebuchet MS" w:hAnsi="Trebuchet MS"/>
          <w:bCs/>
          <w:sz w:val="20"/>
          <w:szCs w:val="20"/>
        </w:rPr>
        <w:t xml:space="preserve">bitcoiniga tehingute tegemiseks/üleandmiseks kasutavad saatja või saaja avalikku aadressi. Tehing sisestub pearaamatusse (jagatud digitaalne register) koos mõlemate osapoolte aadressidega, tehingu tegemise aja ja ulatusega. Juurdepääs sellele pearaamatule on avalik ja tasuta ning keegi ei saa takistada pearaamatus sisalduva informatsiooni lugemist, kuna seda jagatakse mitmete tuhandete arvutite poolt internetis. Igal ajahetkel on seda võimalik täielikult alla laadida ja näha kogu tehingute ajalugu. Kuna paljud kauplejad avaldavad oma aadressi avalikult, siis on teada, et avalik aadress X kuulub isikule Y ning on võimalik näha kogu tema </w:t>
      </w:r>
      <w:r w:rsidR="000E35D2" w:rsidRPr="005F32DE">
        <w:rPr>
          <w:rFonts w:ascii="Trebuchet MS" w:hAnsi="Trebuchet MS"/>
          <w:bCs/>
          <w:sz w:val="20"/>
          <w:szCs w:val="20"/>
        </w:rPr>
        <w:lastRenderedPageBreak/>
        <w:t>tehingute ajalugu. Seega saab öelda, et tehingud bitcoinidega ei ole anonüümsed, vaid pigem just läbipaistvad. Nende aadresside puhul, kelle omanik ei ole teada, on siiski võimalik näha sissevoolu ja väljavoolu, olles seeläbi vähem anonüümsem kui sularaha. Samuti selleks, et bitcoinid rahaks vahetada, saadetakse raha pangakontole. Iga vahetuse puhul jääb seega jälg panka</w:t>
      </w:r>
      <w:r w:rsidRPr="005F32DE">
        <w:rPr>
          <w:rFonts w:ascii="Trebuchet MS" w:hAnsi="Trebuchet MS"/>
          <w:bCs/>
          <w:sz w:val="20"/>
          <w:szCs w:val="20"/>
        </w:rPr>
        <w:t xml:space="preserve">. </w:t>
      </w:r>
      <w:r w:rsidR="000E35D2" w:rsidRPr="005F32DE">
        <w:rPr>
          <w:rFonts w:ascii="Trebuchet MS" w:hAnsi="Trebuchet MS"/>
          <w:bCs/>
          <w:sz w:val="20"/>
          <w:szCs w:val="20"/>
        </w:rPr>
        <w:t>Riigikohus on lahendis 3-1-1-20-15</w:t>
      </w:r>
      <w:r w:rsidR="000E35D2" w:rsidRPr="005F32DE">
        <w:rPr>
          <w:rFonts w:ascii="Trebuchet MS" w:hAnsi="Trebuchet MS"/>
          <w:bCs/>
          <w:sz w:val="20"/>
          <w:szCs w:val="20"/>
          <w:vertAlign w:val="superscript"/>
        </w:rPr>
        <w:footnoteReference w:id="8"/>
      </w:r>
      <w:r w:rsidR="000E35D2" w:rsidRPr="005F32DE">
        <w:rPr>
          <w:rFonts w:ascii="Trebuchet MS" w:hAnsi="Trebuchet MS"/>
          <w:bCs/>
          <w:sz w:val="20"/>
          <w:szCs w:val="20"/>
        </w:rPr>
        <w:t xml:space="preserve"> leidnud, et </w:t>
      </w:r>
      <w:r w:rsidR="000E35D2" w:rsidRPr="005F32DE">
        <w:rPr>
          <w:rFonts w:ascii="Trebuchet MS" w:hAnsi="Trebuchet MS"/>
          <w:bCs/>
          <w:i/>
          <w:sz w:val="20"/>
          <w:szCs w:val="20"/>
        </w:rPr>
        <w:t>tegemaks kindlaks, kas mingi elektronkiri on saadetud konkreetse isiku arvutist, saab pöörduda tehniliste lahenduste poole. IP-aadressi abil on võimalik identifitseerida arvutit, kust konkreetne e-kiri on saadetud, ja on ka jälgitav selle kirja kulgemine. Iga arvuti on temale omaste elektrooniliste tunnuste alusel individuaalne ja seetõttu ka tuvastatav. Kui kriminaalasjas on küsimuseks kirja võimalik päritolu, on vältimatu ka pöördumine selliseid andmeid kajastavate andmekandjate poole.</w:t>
      </w:r>
      <w:r w:rsidR="000E35D2" w:rsidRPr="005F32DE">
        <w:rPr>
          <w:rFonts w:ascii="Trebuchet MS" w:hAnsi="Trebuchet MS"/>
          <w:bCs/>
          <w:sz w:val="20"/>
          <w:szCs w:val="20"/>
        </w:rPr>
        <w:t xml:space="preserve"> Kuna krüptorahaga tehingute tegemiseks kasutatakse avalikku aadressi ja tehingute avalikule digitaalsele registrile, kus on näha nii saatja kui </w:t>
      </w:r>
      <w:r w:rsidR="00991E98" w:rsidRPr="005F32DE">
        <w:rPr>
          <w:rFonts w:ascii="Trebuchet MS" w:hAnsi="Trebuchet MS"/>
          <w:bCs/>
          <w:sz w:val="20"/>
          <w:szCs w:val="20"/>
        </w:rPr>
        <w:t xml:space="preserve">ka </w:t>
      </w:r>
      <w:r w:rsidR="000E35D2" w:rsidRPr="005F32DE">
        <w:rPr>
          <w:rFonts w:ascii="Trebuchet MS" w:hAnsi="Trebuchet MS"/>
          <w:bCs/>
          <w:sz w:val="20"/>
          <w:szCs w:val="20"/>
        </w:rPr>
        <w:t>saaja aadress, on võimalik juurde pääseda arvuti kaudu, siis saab samuti pöörduda tehniliste lahenduste poole, et identifitseerida, kust konkreetne tehing tehtud on</w:t>
      </w:r>
      <w:r w:rsidR="00991E98" w:rsidRPr="005F32DE">
        <w:rPr>
          <w:rFonts w:ascii="Trebuchet MS" w:hAnsi="Trebuchet MS"/>
          <w:bCs/>
          <w:sz w:val="20"/>
          <w:szCs w:val="20"/>
        </w:rPr>
        <w:t>,</w:t>
      </w:r>
      <w:r w:rsidR="000E35D2" w:rsidRPr="005F32DE">
        <w:rPr>
          <w:rFonts w:ascii="Trebuchet MS" w:hAnsi="Trebuchet MS"/>
          <w:bCs/>
          <w:sz w:val="20"/>
          <w:szCs w:val="20"/>
        </w:rPr>
        <w:t xml:space="preserve"> ja tuvastada tehingu päritolu. Seega ei saa krüptoraha tehingute tegemisel tulla kõne alla osapoolte anonüümsus.</w:t>
      </w:r>
    </w:p>
    <w:p w14:paraId="7C13F21A" w14:textId="77777777" w:rsidR="0036340B" w:rsidRPr="005F32DE" w:rsidRDefault="0036340B" w:rsidP="0036340B">
      <w:pPr>
        <w:tabs>
          <w:tab w:val="num" w:pos="862"/>
        </w:tabs>
        <w:autoSpaceDE w:val="0"/>
        <w:autoSpaceDN w:val="0"/>
        <w:adjustRightInd w:val="0"/>
        <w:spacing w:line="276" w:lineRule="auto"/>
        <w:rPr>
          <w:bCs/>
          <w:szCs w:val="20"/>
          <w:lang w:val="et-EE"/>
        </w:rPr>
      </w:pPr>
    </w:p>
    <w:p w14:paraId="2B1ADF49" w14:textId="5137D0A1" w:rsidR="00B12F7B" w:rsidRPr="005F32DE" w:rsidRDefault="00D33E80"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Lõpetuseks o</w:t>
      </w:r>
      <w:r w:rsidR="00B12F7B" w:rsidRPr="005F32DE">
        <w:rPr>
          <w:rFonts w:ascii="Trebuchet MS" w:hAnsi="Trebuchet MS"/>
          <w:bCs/>
          <w:sz w:val="20"/>
          <w:szCs w:val="20"/>
        </w:rPr>
        <w:t>n</w:t>
      </w:r>
      <w:r w:rsidR="00201BE5" w:rsidRPr="005F32DE">
        <w:rPr>
          <w:rFonts w:ascii="Trebuchet MS" w:hAnsi="Trebuchet MS"/>
          <w:bCs/>
          <w:sz w:val="20"/>
          <w:szCs w:val="20"/>
        </w:rPr>
        <w:t xml:space="preserve"> oluline märkida, et 20.05.2015 </w:t>
      </w:r>
      <w:r w:rsidR="00B12F7B" w:rsidRPr="005F32DE">
        <w:rPr>
          <w:rFonts w:ascii="Trebuchet MS" w:hAnsi="Trebuchet MS"/>
          <w:bCs/>
          <w:sz w:val="20"/>
          <w:szCs w:val="20"/>
        </w:rPr>
        <w:t xml:space="preserve">võttis Euroopa Parlament vastu </w:t>
      </w:r>
      <w:r w:rsidR="00201BE5" w:rsidRPr="005F32DE">
        <w:rPr>
          <w:rFonts w:ascii="Trebuchet MS" w:hAnsi="Trebuchet MS"/>
          <w:bCs/>
          <w:sz w:val="20"/>
          <w:szCs w:val="20"/>
        </w:rPr>
        <w:t xml:space="preserve">nn </w:t>
      </w:r>
      <w:r w:rsidR="00B12F7B" w:rsidRPr="005F32DE">
        <w:rPr>
          <w:rFonts w:ascii="Trebuchet MS" w:hAnsi="Trebuchet MS"/>
          <w:bCs/>
          <w:sz w:val="20"/>
          <w:szCs w:val="20"/>
        </w:rPr>
        <w:t>IV rahapesu tõkestamise direktiivi</w:t>
      </w:r>
      <w:r w:rsidR="003134A6">
        <w:rPr>
          <w:rFonts w:ascii="Trebuchet MS" w:hAnsi="Trebuchet MS"/>
          <w:bCs/>
          <w:sz w:val="20"/>
          <w:szCs w:val="20"/>
        </w:rPr>
        <w:t>.</w:t>
      </w:r>
      <w:r w:rsidR="00664A88" w:rsidRPr="005F32DE">
        <w:rPr>
          <w:rStyle w:val="FootnoteReference"/>
          <w:rFonts w:ascii="Trebuchet MS" w:hAnsi="Trebuchet MS"/>
          <w:bCs/>
          <w:sz w:val="20"/>
          <w:szCs w:val="20"/>
        </w:rPr>
        <w:footnoteReference w:id="9"/>
      </w:r>
      <w:r w:rsidR="003134A6">
        <w:rPr>
          <w:rFonts w:ascii="Trebuchet MS" w:hAnsi="Trebuchet MS"/>
          <w:bCs/>
          <w:sz w:val="20"/>
          <w:szCs w:val="20"/>
        </w:rPr>
        <w:t xml:space="preserve"> Kuna EL</w:t>
      </w:r>
      <w:r w:rsidR="00664A88" w:rsidRPr="005F32DE">
        <w:rPr>
          <w:rFonts w:ascii="Trebuchet MS" w:hAnsi="Trebuchet MS"/>
          <w:bCs/>
          <w:sz w:val="20"/>
          <w:szCs w:val="20"/>
        </w:rPr>
        <w:t xml:space="preserve"> tasemel puudub täielik ja ühtne arusaam virtuaal- ja krüptoraha olemusest ja reguleerimisest, ei ole </w:t>
      </w:r>
      <w:r w:rsidR="00071121" w:rsidRPr="005F32DE">
        <w:rPr>
          <w:rFonts w:ascii="Trebuchet MS" w:hAnsi="Trebuchet MS"/>
          <w:bCs/>
          <w:sz w:val="20"/>
          <w:szCs w:val="20"/>
        </w:rPr>
        <w:t xml:space="preserve">ka IV </w:t>
      </w:r>
      <w:r w:rsidR="00664A88" w:rsidRPr="005F32DE">
        <w:rPr>
          <w:rFonts w:ascii="Trebuchet MS" w:hAnsi="Trebuchet MS"/>
          <w:bCs/>
          <w:sz w:val="20"/>
          <w:szCs w:val="20"/>
        </w:rPr>
        <w:t>direktiivis sätteid krüptorahade reguleerimiseks</w:t>
      </w:r>
      <w:r w:rsidR="00201BE5" w:rsidRPr="005F32DE">
        <w:rPr>
          <w:rFonts w:ascii="Trebuchet MS" w:hAnsi="Trebuchet MS"/>
          <w:bCs/>
          <w:sz w:val="20"/>
          <w:szCs w:val="20"/>
        </w:rPr>
        <w:t>,</w:t>
      </w:r>
      <w:r w:rsidR="00664A88" w:rsidRPr="005F32DE">
        <w:rPr>
          <w:rFonts w:ascii="Trebuchet MS" w:hAnsi="Trebuchet MS"/>
          <w:bCs/>
          <w:sz w:val="20"/>
          <w:szCs w:val="20"/>
        </w:rPr>
        <w:t xml:space="preserve"> sh ei ole laiendatud kohustatud subjektide loetelu krüptorahaga seotud teenuste osutajatele. Liikmesriigid</w:t>
      </w:r>
      <w:r w:rsidR="00201BE5" w:rsidRPr="005F32DE">
        <w:rPr>
          <w:rFonts w:ascii="Trebuchet MS" w:hAnsi="Trebuchet MS"/>
          <w:bCs/>
          <w:sz w:val="20"/>
          <w:szCs w:val="20"/>
        </w:rPr>
        <w:t>,</w:t>
      </w:r>
      <w:r w:rsidR="00664A88" w:rsidRPr="005F32DE">
        <w:rPr>
          <w:rFonts w:ascii="Trebuchet MS" w:hAnsi="Trebuchet MS"/>
          <w:bCs/>
          <w:sz w:val="20"/>
          <w:szCs w:val="20"/>
        </w:rPr>
        <w:t xml:space="preserve"> sh ka Eesti</w:t>
      </w:r>
      <w:r w:rsidR="00201BE5" w:rsidRPr="005F32DE">
        <w:rPr>
          <w:rFonts w:ascii="Trebuchet MS" w:hAnsi="Trebuchet MS"/>
          <w:bCs/>
          <w:sz w:val="20"/>
          <w:szCs w:val="20"/>
        </w:rPr>
        <w:t>, peavad selle</w:t>
      </w:r>
      <w:r w:rsidR="00664A88" w:rsidRPr="005F32DE">
        <w:rPr>
          <w:rFonts w:ascii="Trebuchet MS" w:hAnsi="Trebuchet MS"/>
          <w:bCs/>
          <w:sz w:val="20"/>
          <w:szCs w:val="20"/>
        </w:rPr>
        <w:t xml:space="preserve"> direktiivi </w:t>
      </w:r>
      <w:r w:rsidR="00201BE5" w:rsidRPr="005F32DE">
        <w:rPr>
          <w:rFonts w:ascii="Trebuchet MS" w:hAnsi="Trebuchet MS"/>
          <w:bCs/>
          <w:sz w:val="20"/>
          <w:szCs w:val="20"/>
        </w:rPr>
        <w:t>oma õiguskorda üle võtma kahe aasta jooksul</w:t>
      </w:r>
      <w:r w:rsidR="002F1360" w:rsidRPr="005F32DE">
        <w:rPr>
          <w:rFonts w:ascii="Trebuchet MS" w:hAnsi="Trebuchet MS"/>
          <w:bCs/>
          <w:sz w:val="20"/>
          <w:szCs w:val="20"/>
        </w:rPr>
        <w:t xml:space="preserve"> ning kaebajale teadaolevalt on Rahandusministeerium alustanud uue rahapesuvastase seaduse väljatöötamist</w:t>
      </w:r>
      <w:r w:rsidR="00664A88" w:rsidRPr="005F32DE">
        <w:rPr>
          <w:rFonts w:ascii="Trebuchet MS" w:hAnsi="Trebuchet MS"/>
          <w:bCs/>
          <w:sz w:val="20"/>
          <w:szCs w:val="20"/>
        </w:rPr>
        <w:t>.</w:t>
      </w:r>
    </w:p>
    <w:p w14:paraId="60C46D1C" w14:textId="77777777" w:rsidR="00C10867" w:rsidRPr="005F32DE" w:rsidRDefault="00C10867" w:rsidP="00C10867">
      <w:pPr>
        <w:pStyle w:val="ListParagraph"/>
        <w:rPr>
          <w:rFonts w:ascii="Trebuchet MS" w:hAnsi="Trebuchet MS"/>
          <w:bCs/>
          <w:sz w:val="20"/>
          <w:szCs w:val="20"/>
        </w:rPr>
      </w:pPr>
    </w:p>
    <w:p w14:paraId="63737E62" w14:textId="468A307C" w:rsidR="00C10867" w:rsidRPr="005F32DE" w:rsidRDefault="002F1360"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Kokkuvõtteks: III direktiiviga on vastuolus</w:t>
      </w:r>
      <w:r w:rsidR="00C10867" w:rsidRPr="005F32DE">
        <w:rPr>
          <w:rFonts w:ascii="Trebuchet MS" w:hAnsi="Trebuchet MS"/>
          <w:bCs/>
          <w:sz w:val="20"/>
          <w:szCs w:val="20"/>
        </w:rPr>
        <w:t>, kui liikmesriik</w:t>
      </w:r>
      <w:r w:rsidRPr="005F32DE">
        <w:rPr>
          <w:rFonts w:ascii="Trebuchet MS" w:hAnsi="Trebuchet MS"/>
          <w:bCs/>
          <w:sz w:val="20"/>
          <w:szCs w:val="20"/>
        </w:rPr>
        <w:t xml:space="preserve"> </w:t>
      </w:r>
      <w:r w:rsidR="00C10867" w:rsidRPr="005F32DE">
        <w:rPr>
          <w:rFonts w:ascii="Trebuchet MS" w:hAnsi="Trebuchet MS"/>
          <w:bCs/>
          <w:sz w:val="20"/>
          <w:szCs w:val="20"/>
        </w:rPr>
        <w:t>laiendab siseriikliku õigusega kohustatud isikute ringi ja loob seeläbi haldusväliste isikute suhtes koormavaid sätteid</w:t>
      </w:r>
      <w:r w:rsidRPr="005F32DE">
        <w:rPr>
          <w:rFonts w:ascii="Trebuchet MS" w:hAnsi="Trebuchet MS"/>
          <w:bCs/>
          <w:sz w:val="20"/>
          <w:szCs w:val="20"/>
        </w:rPr>
        <w:t xml:space="preserve"> elukutsetele ja ettevõtjate kategooriatele, mis ei tegutse alal, mida võidakse eriti tõenäoliselt kasutada rahapesu ja terrorismi rahastamise eesmärkidel</w:t>
      </w:r>
      <w:r w:rsidR="00C10867" w:rsidRPr="005F32DE">
        <w:rPr>
          <w:rFonts w:ascii="Trebuchet MS" w:hAnsi="Trebuchet MS"/>
          <w:bCs/>
          <w:sz w:val="20"/>
          <w:szCs w:val="20"/>
        </w:rPr>
        <w:t xml:space="preserve">. Kaebaja leiab siiski, et RahaPTS tõlgendamisel võimalikult EL õiguse konformselt on võimalik vältida vajadust tuvastada </w:t>
      </w:r>
      <w:r w:rsidRPr="005F32DE">
        <w:rPr>
          <w:rFonts w:ascii="Trebuchet MS" w:hAnsi="Trebuchet MS"/>
          <w:bCs/>
          <w:sz w:val="20"/>
          <w:szCs w:val="20"/>
        </w:rPr>
        <w:t xml:space="preserve">RahaPTS § 6 lg 2 p 4 ja lg 4 </w:t>
      </w:r>
      <w:r w:rsidR="00C10867" w:rsidRPr="005F32DE">
        <w:rPr>
          <w:rFonts w:ascii="Trebuchet MS" w:hAnsi="Trebuchet MS"/>
          <w:bCs/>
          <w:sz w:val="20"/>
          <w:szCs w:val="20"/>
        </w:rPr>
        <w:t>vastuolu III direktiiviga ning piisab ettekirjutuse tühistamisest. Kui aga kohus ei pea sellist tõlgendust praeguses asjas siiski võimalikuks, tuleb RahaPTS asjassepuutuvad sätted jätta kohaldamata vastuolu tõttu EL õigusega ning ettekirjutus kui õigusliku aluseta haldusakt ikkagi tühistada.</w:t>
      </w:r>
    </w:p>
    <w:p w14:paraId="1BB5B21B" w14:textId="77777777" w:rsidR="004C2C41" w:rsidRPr="005F32DE" w:rsidRDefault="004C2C41" w:rsidP="004C2C41">
      <w:pPr>
        <w:tabs>
          <w:tab w:val="num" w:pos="709"/>
        </w:tabs>
        <w:autoSpaceDE w:val="0"/>
        <w:autoSpaceDN w:val="0"/>
        <w:adjustRightInd w:val="0"/>
        <w:spacing w:line="276" w:lineRule="auto"/>
        <w:rPr>
          <w:b/>
          <w:bCs/>
          <w:szCs w:val="20"/>
          <w:lang w:val="et-EE"/>
        </w:rPr>
      </w:pPr>
    </w:p>
    <w:p w14:paraId="5958147D" w14:textId="3BE06E60" w:rsidR="00676E83" w:rsidRPr="005F32DE" w:rsidRDefault="00676E83" w:rsidP="0075224C">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
          <w:bCs/>
          <w:sz w:val="20"/>
          <w:szCs w:val="20"/>
        </w:rPr>
        <w:t xml:space="preserve">RahaPTS § 6 lg 2 p 4 ja lg 4 või </w:t>
      </w:r>
      <w:r w:rsidR="00336461" w:rsidRPr="005F32DE">
        <w:rPr>
          <w:rFonts w:ascii="Trebuchet MS" w:hAnsi="Trebuchet MS"/>
          <w:b/>
          <w:bCs/>
          <w:sz w:val="20"/>
          <w:szCs w:val="20"/>
        </w:rPr>
        <w:t xml:space="preserve">kohtute ja </w:t>
      </w:r>
      <w:r w:rsidRPr="005F32DE">
        <w:rPr>
          <w:rFonts w:ascii="Trebuchet MS" w:hAnsi="Trebuchet MS"/>
          <w:b/>
          <w:bCs/>
          <w:sz w:val="20"/>
          <w:szCs w:val="20"/>
        </w:rPr>
        <w:t>RAB-i tõlgendus nende sätete osas on vastuolus PS § 13 lg-ga 2</w:t>
      </w:r>
      <w:r w:rsidR="00BB36F2" w:rsidRPr="005F32DE">
        <w:rPr>
          <w:rFonts w:ascii="Trebuchet MS" w:hAnsi="Trebuchet MS"/>
          <w:b/>
          <w:bCs/>
          <w:sz w:val="20"/>
          <w:szCs w:val="20"/>
        </w:rPr>
        <w:t>.</w:t>
      </w:r>
    </w:p>
    <w:p w14:paraId="2D27E104" w14:textId="77777777" w:rsidR="004C2C41" w:rsidRPr="005F32DE" w:rsidRDefault="004C2C41" w:rsidP="004C2C41">
      <w:pPr>
        <w:tabs>
          <w:tab w:val="num" w:pos="709"/>
        </w:tabs>
        <w:spacing w:line="276" w:lineRule="auto"/>
        <w:ind w:left="142"/>
        <w:rPr>
          <w:bCs/>
          <w:szCs w:val="20"/>
          <w:lang w:val="et-EE"/>
        </w:rPr>
      </w:pPr>
    </w:p>
    <w:p w14:paraId="7C54C445" w14:textId="508E9A26" w:rsidR="00CE34B0" w:rsidRPr="005F32DE" w:rsidRDefault="00676E83" w:rsidP="002F6E44">
      <w:pPr>
        <w:pStyle w:val="ListParagraph"/>
        <w:numPr>
          <w:ilvl w:val="2"/>
          <w:numId w:val="27"/>
        </w:numPr>
        <w:spacing w:line="276" w:lineRule="auto"/>
        <w:ind w:left="709" w:hanging="709"/>
        <w:contextualSpacing w:val="0"/>
        <w:rPr>
          <w:rFonts w:ascii="Trebuchet MS" w:hAnsi="Trebuchet MS"/>
          <w:bCs/>
          <w:sz w:val="20"/>
          <w:szCs w:val="20"/>
        </w:rPr>
      </w:pPr>
      <w:r w:rsidRPr="005F32DE">
        <w:rPr>
          <w:rFonts w:ascii="Trebuchet MS" w:hAnsi="Trebuchet MS"/>
          <w:sz w:val="20"/>
          <w:szCs w:val="20"/>
        </w:rPr>
        <w:t xml:space="preserve">Seadusandlus peab tagama selle, et riigivõimu ei teostataks omavoliliselt, vaid üksnes seaduse alusel. </w:t>
      </w:r>
      <w:r w:rsidRPr="005F32DE">
        <w:rPr>
          <w:rFonts w:ascii="Trebuchet MS" w:hAnsi="Trebuchet MS"/>
          <w:bCs/>
          <w:sz w:val="20"/>
          <w:szCs w:val="20"/>
        </w:rPr>
        <w:t>RahaPTS eesmärk ei saa olla luua ebakindlust õiguskäibes ning selle alusel saab õigusriigis riiklikku sunnijõudu rakendada vaid seaduses sõnaselgelt määratletud kohustatud isikute suhtes.</w:t>
      </w:r>
      <w:r w:rsidR="00DE0372" w:rsidRPr="005F32DE">
        <w:rPr>
          <w:rFonts w:ascii="Trebuchet MS" w:hAnsi="Trebuchet MS"/>
          <w:bCs/>
          <w:sz w:val="20"/>
          <w:szCs w:val="20"/>
        </w:rPr>
        <w:t xml:space="preserve"> </w:t>
      </w:r>
      <w:r w:rsidR="00384843" w:rsidRPr="005F32DE">
        <w:rPr>
          <w:rFonts w:ascii="Trebuchet MS" w:hAnsi="Trebuchet MS"/>
          <w:bCs/>
          <w:sz w:val="20"/>
          <w:szCs w:val="20"/>
        </w:rPr>
        <w:t>Euroopa Inimõiguste Kohtu</w:t>
      </w:r>
      <w:r w:rsidR="00754761" w:rsidRPr="005F32DE">
        <w:rPr>
          <w:rFonts w:ascii="Trebuchet MS" w:hAnsi="Trebuchet MS"/>
          <w:bCs/>
          <w:sz w:val="20"/>
          <w:szCs w:val="20"/>
        </w:rPr>
        <w:t xml:space="preserve"> </w:t>
      </w:r>
      <w:r w:rsidR="00384843" w:rsidRPr="005F32DE">
        <w:rPr>
          <w:rFonts w:ascii="Trebuchet MS" w:hAnsi="Trebuchet MS"/>
          <w:bCs/>
          <w:sz w:val="20"/>
          <w:szCs w:val="20"/>
        </w:rPr>
        <w:t>26.04.1979</w:t>
      </w:r>
      <w:r w:rsidR="00001AB7" w:rsidRPr="005F32DE">
        <w:rPr>
          <w:rFonts w:ascii="Trebuchet MS" w:hAnsi="Trebuchet MS"/>
          <w:bCs/>
          <w:sz w:val="20"/>
          <w:szCs w:val="20"/>
        </w:rPr>
        <w:t xml:space="preserve"> otsuse</w:t>
      </w:r>
      <w:r w:rsidR="00A04236" w:rsidRPr="005F32DE">
        <w:rPr>
          <w:rFonts w:ascii="Trebuchet MS" w:hAnsi="Trebuchet MS"/>
          <w:bCs/>
          <w:sz w:val="20"/>
          <w:szCs w:val="20"/>
        </w:rPr>
        <w:t>st</w:t>
      </w:r>
      <w:r w:rsidR="00001AB7" w:rsidRPr="005F32DE">
        <w:rPr>
          <w:rFonts w:ascii="Trebuchet MS" w:hAnsi="Trebuchet MS"/>
          <w:bCs/>
          <w:sz w:val="20"/>
          <w:szCs w:val="20"/>
        </w:rPr>
        <w:t xml:space="preserve"> </w:t>
      </w:r>
      <w:r w:rsidR="00A04236" w:rsidRPr="005F32DE">
        <w:rPr>
          <w:rFonts w:ascii="Trebuchet MS" w:hAnsi="Trebuchet MS"/>
          <w:bCs/>
          <w:sz w:val="20"/>
          <w:szCs w:val="20"/>
        </w:rPr>
        <w:t>kohtu</w:t>
      </w:r>
      <w:r w:rsidR="00001AB7" w:rsidRPr="005F32DE">
        <w:rPr>
          <w:rFonts w:ascii="Trebuchet MS" w:hAnsi="Trebuchet MS"/>
          <w:bCs/>
          <w:sz w:val="20"/>
          <w:szCs w:val="20"/>
        </w:rPr>
        <w:t>asjas Sunday Times vs. Ühendkuningriik</w:t>
      </w:r>
      <w:r w:rsidR="00754761" w:rsidRPr="005F32DE">
        <w:rPr>
          <w:rFonts w:ascii="Trebuchet MS" w:hAnsi="Trebuchet MS"/>
          <w:bCs/>
          <w:sz w:val="20"/>
          <w:szCs w:val="20"/>
        </w:rPr>
        <w:t xml:space="preserve"> </w:t>
      </w:r>
      <w:r w:rsidR="00A04236" w:rsidRPr="005F32DE">
        <w:rPr>
          <w:rFonts w:ascii="Trebuchet MS" w:hAnsi="Trebuchet MS"/>
          <w:bCs/>
          <w:sz w:val="20"/>
          <w:szCs w:val="20"/>
        </w:rPr>
        <w:t xml:space="preserve">(p 49) </w:t>
      </w:r>
      <w:r w:rsidR="00001AB7" w:rsidRPr="005F32DE">
        <w:rPr>
          <w:rFonts w:ascii="Trebuchet MS" w:hAnsi="Trebuchet MS"/>
          <w:bCs/>
          <w:sz w:val="20"/>
          <w:szCs w:val="20"/>
        </w:rPr>
        <w:t>tuleneb, et kodanik peab saama – kui tarvis, siis asjakohaste nõuannete abiga – asjaolusid arvestades mõistlikul määral ette näha tagajärgi, mida teatud tegevus võib kaasa tuua</w:t>
      </w:r>
      <w:r w:rsidR="0015433A">
        <w:rPr>
          <w:rFonts w:ascii="Trebuchet MS" w:hAnsi="Trebuchet MS"/>
          <w:bCs/>
          <w:sz w:val="20"/>
          <w:szCs w:val="20"/>
        </w:rPr>
        <w:t>.</w:t>
      </w:r>
      <w:r w:rsidR="00001AB7" w:rsidRPr="005F32DE">
        <w:rPr>
          <w:rFonts w:ascii="Trebuchet MS" w:hAnsi="Trebuchet MS"/>
          <w:bCs/>
          <w:sz w:val="20"/>
          <w:szCs w:val="20"/>
          <w:vertAlign w:val="superscript"/>
        </w:rPr>
        <w:footnoteReference w:id="10"/>
      </w:r>
      <w:r w:rsidR="00001AB7" w:rsidRPr="005F32DE">
        <w:rPr>
          <w:rFonts w:ascii="Trebuchet MS" w:hAnsi="Trebuchet MS"/>
          <w:bCs/>
          <w:sz w:val="20"/>
          <w:szCs w:val="20"/>
        </w:rPr>
        <w:t xml:space="preserve"> Kuid </w:t>
      </w:r>
      <w:r w:rsidR="00A04236" w:rsidRPr="005F32DE">
        <w:rPr>
          <w:rFonts w:ascii="Trebuchet MS" w:hAnsi="Trebuchet MS"/>
          <w:bCs/>
          <w:sz w:val="20"/>
          <w:szCs w:val="20"/>
        </w:rPr>
        <w:t xml:space="preserve">kaebaja esitatud asjaolud </w:t>
      </w:r>
      <w:r w:rsidR="00001AB7" w:rsidRPr="005F32DE">
        <w:rPr>
          <w:rFonts w:ascii="Trebuchet MS" w:hAnsi="Trebuchet MS"/>
          <w:bCs/>
          <w:sz w:val="20"/>
          <w:szCs w:val="20"/>
        </w:rPr>
        <w:t>viitavad kõik sellele</w:t>
      </w:r>
      <w:r w:rsidR="00754761" w:rsidRPr="005F32DE">
        <w:rPr>
          <w:rFonts w:ascii="Trebuchet MS" w:hAnsi="Trebuchet MS"/>
          <w:bCs/>
          <w:sz w:val="20"/>
          <w:szCs w:val="20"/>
        </w:rPr>
        <w:t>, et</w:t>
      </w:r>
      <w:r w:rsidR="00001AB7" w:rsidRPr="005F32DE">
        <w:rPr>
          <w:rFonts w:ascii="Trebuchet MS" w:hAnsi="Trebuchet MS"/>
          <w:bCs/>
          <w:sz w:val="20"/>
          <w:szCs w:val="20"/>
        </w:rPr>
        <w:t xml:space="preserve"> virtuaal- ja krüptorahadega seonduv</w:t>
      </w:r>
      <w:r w:rsidR="00754761" w:rsidRPr="005F32DE">
        <w:rPr>
          <w:rFonts w:ascii="Trebuchet MS" w:hAnsi="Trebuchet MS"/>
          <w:bCs/>
          <w:sz w:val="20"/>
          <w:szCs w:val="20"/>
        </w:rPr>
        <w:t xml:space="preserve"> ei ol</w:t>
      </w:r>
      <w:r w:rsidR="003236E0" w:rsidRPr="005F32DE">
        <w:rPr>
          <w:rFonts w:ascii="Trebuchet MS" w:hAnsi="Trebuchet MS"/>
          <w:bCs/>
          <w:sz w:val="20"/>
          <w:szCs w:val="20"/>
        </w:rPr>
        <w:t>nud ettekirjutuse tegemise hetkel</w:t>
      </w:r>
      <w:r w:rsidR="00001AB7" w:rsidRPr="005F32DE">
        <w:rPr>
          <w:rFonts w:ascii="Trebuchet MS" w:hAnsi="Trebuchet MS"/>
          <w:bCs/>
          <w:sz w:val="20"/>
          <w:szCs w:val="20"/>
        </w:rPr>
        <w:t xml:space="preserve"> ega ole ka praegu reguleeritud valdkond ning sellest tulenevalt ei </w:t>
      </w:r>
      <w:r w:rsidR="003236E0" w:rsidRPr="005F32DE">
        <w:rPr>
          <w:rFonts w:ascii="Trebuchet MS" w:hAnsi="Trebuchet MS"/>
          <w:bCs/>
          <w:sz w:val="20"/>
          <w:szCs w:val="20"/>
        </w:rPr>
        <w:t>ol</w:t>
      </w:r>
      <w:r w:rsidR="00A04236" w:rsidRPr="005F32DE">
        <w:rPr>
          <w:rFonts w:ascii="Trebuchet MS" w:hAnsi="Trebuchet MS"/>
          <w:bCs/>
          <w:sz w:val="20"/>
          <w:szCs w:val="20"/>
        </w:rPr>
        <w:t>e ka keskmiste võimetega isikul</w:t>
      </w:r>
      <w:r w:rsidR="003236E0" w:rsidRPr="005F32DE">
        <w:rPr>
          <w:rFonts w:ascii="Trebuchet MS" w:hAnsi="Trebuchet MS"/>
          <w:bCs/>
          <w:sz w:val="20"/>
          <w:szCs w:val="20"/>
        </w:rPr>
        <w:t xml:space="preserve"> võimalik ette näha, milline õiguslik tagajärg võib kaasneda virtuaal-</w:t>
      </w:r>
      <w:r w:rsidR="00A04236" w:rsidRPr="005F32DE">
        <w:rPr>
          <w:rFonts w:ascii="Trebuchet MS" w:hAnsi="Trebuchet MS"/>
          <w:bCs/>
          <w:sz w:val="20"/>
          <w:szCs w:val="20"/>
        </w:rPr>
        <w:t xml:space="preserve"> ja krüptorahadega kauplemisega.</w:t>
      </w:r>
    </w:p>
    <w:p w14:paraId="5A7573F3" w14:textId="77777777" w:rsidR="00CE34B0" w:rsidRPr="005F32DE" w:rsidRDefault="00CE34B0" w:rsidP="00CE34B0">
      <w:pPr>
        <w:tabs>
          <w:tab w:val="num" w:pos="709"/>
        </w:tabs>
        <w:spacing w:line="276" w:lineRule="auto"/>
        <w:ind w:left="142"/>
        <w:rPr>
          <w:bCs/>
          <w:szCs w:val="20"/>
          <w:lang w:val="et-EE"/>
        </w:rPr>
      </w:pPr>
    </w:p>
    <w:p w14:paraId="3A2E7C64" w14:textId="0E2BA134" w:rsidR="00CE34B0" w:rsidRPr="005F32DE" w:rsidRDefault="00DE0372" w:rsidP="002F6E44">
      <w:pPr>
        <w:pStyle w:val="ListParagraph"/>
        <w:numPr>
          <w:ilvl w:val="2"/>
          <w:numId w:val="27"/>
        </w:numPr>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Kaebaja on seisukohal, et </w:t>
      </w:r>
      <w:r w:rsidR="00CE34B0" w:rsidRPr="005F32DE">
        <w:rPr>
          <w:rFonts w:ascii="Trebuchet MS" w:hAnsi="Trebuchet MS"/>
          <w:bCs/>
          <w:sz w:val="20"/>
          <w:szCs w:val="20"/>
        </w:rPr>
        <w:t xml:space="preserve">RahaPTS § 6 lg 2 p 4 ja lg 4 regulatsioon </w:t>
      </w:r>
      <w:r w:rsidRPr="005F32DE">
        <w:rPr>
          <w:rFonts w:ascii="Trebuchet MS" w:hAnsi="Trebuchet MS"/>
          <w:bCs/>
          <w:sz w:val="20"/>
          <w:szCs w:val="20"/>
        </w:rPr>
        <w:t xml:space="preserve">on </w:t>
      </w:r>
      <w:r w:rsidR="00A04236" w:rsidRPr="005F32DE">
        <w:rPr>
          <w:rFonts w:ascii="Trebuchet MS" w:hAnsi="Trebuchet MS"/>
          <w:bCs/>
          <w:sz w:val="20"/>
          <w:szCs w:val="20"/>
        </w:rPr>
        <w:t>õigus</w:t>
      </w:r>
      <w:r w:rsidRPr="005F32DE">
        <w:rPr>
          <w:rFonts w:ascii="Trebuchet MS" w:hAnsi="Trebuchet MS"/>
          <w:bCs/>
          <w:sz w:val="20"/>
          <w:szCs w:val="20"/>
        </w:rPr>
        <w:t>selgusetu</w:t>
      </w:r>
      <w:r w:rsidR="00AD517D">
        <w:rPr>
          <w:rFonts w:ascii="Trebuchet MS" w:hAnsi="Trebuchet MS"/>
          <w:bCs/>
          <w:sz w:val="20"/>
          <w:szCs w:val="20"/>
        </w:rPr>
        <w:t xml:space="preserve"> ja loob ebakindlust õiguskäibes</w:t>
      </w:r>
      <w:r w:rsidRPr="005F32DE">
        <w:rPr>
          <w:rFonts w:ascii="Trebuchet MS" w:hAnsi="Trebuchet MS"/>
          <w:bCs/>
          <w:sz w:val="20"/>
          <w:szCs w:val="20"/>
        </w:rPr>
        <w:t xml:space="preserve">. </w:t>
      </w:r>
      <w:r w:rsidR="00BA6099" w:rsidRPr="005F32DE">
        <w:rPr>
          <w:rFonts w:ascii="Trebuchet MS" w:hAnsi="Trebuchet MS"/>
          <w:bCs/>
          <w:sz w:val="20"/>
          <w:szCs w:val="20"/>
        </w:rPr>
        <w:t>Kaebaja ei nõustu r</w:t>
      </w:r>
      <w:r w:rsidR="00676E83" w:rsidRPr="005F32DE">
        <w:rPr>
          <w:rFonts w:ascii="Trebuchet MS" w:hAnsi="Trebuchet MS"/>
          <w:bCs/>
          <w:sz w:val="20"/>
          <w:szCs w:val="20"/>
        </w:rPr>
        <w:t xml:space="preserve">ingkonnakohtu ega </w:t>
      </w:r>
      <w:r w:rsidR="00BA6099" w:rsidRPr="005F32DE">
        <w:rPr>
          <w:rFonts w:ascii="Trebuchet MS" w:hAnsi="Trebuchet MS"/>
          <w:bCs/>
          <w:sz w:val="20"/>
          <w:szCs w:val="20"/>
        </w:rPr>
        <w:t xml:space="preserve">RAB-i </w:t>
      </w:r>
      <w:r w:rsidR="00676E83" w:rsidRPr="005F32DE">
        <w:rPr>
          <w:rFonts w:ascii="Trebuchet MS" w:hAnsi="Trebuchet MS"/>
          <w:bCs/>
          <w:sz w:val="20"/>
          <w:szCs w:val="20"/>
        </w:rPr>
        <w:t>seisukohaga</w:t>
      </w:r>
      <w:r w:rsidR="00AD517D">
        <w:rPr>
          <w:rFonts w:ascii="Trebuchet MS" w:hAnsi="Trebuchet MS"/>
          <w:bCs/>
          <w:sz w:val="20"/>
          <w:szCs w:val="20"/>
        </w:rPr>
        <w:t xml:space="preserve"> ja laiendava tõlgendusega</w:t>
      </w:r>
      <w:r w:rsidR="00676E83" w:rsidRPr="005F32DE">
        <w:rPr>
          <w:rFonts w:ascii="Trebuchet MS" w:hAnsi="Trebuchet MS"/>
          <w:bCs/>
          <w:sz w:val="20"/>
          <w:szCs w:val="20"/>
        </w:rPr>
        <w:t>, et bitcoinidega tegelevale mõistlikule isikul pidi tekkima kahtlus, et bitcoin</w:t>
      </w:r>
      <w:r w:rsidR="00D4788D" w:rsidRPr="005F32DE">
        <w:rPr>
          <w:rFonts w:ascii="Trebuchet MS" w:hAnsi="Trebuchet MS"/>
          <w:bCs/>
          <w:sz w:val="20"/>
          <w:szCs w:val="20"/>
        </w:rPr>
        <w:t>idega tegelemine</w:t>
      </w:r>
      <w:r w:rsidR="00676E83" w:rsidRPr="005F32DE">
        <w:rPr>
          <w:rFonts w:ascii="Trebuchet MS" w:hAnsi="Trebuchet MS"/>
          <w:bCs/>
          <w:sz w:val="20"/>
          <w:szCs w:val="20"/>
        </w:rPr>
        <w:t xml:space="preserve"> võib olla reguleeritud tegevusala, mille suhtes teostatakse ka järelevalvet. </w:t>
      </w:r>
      <w:r w:rsidR="00384843" w:rsidRPr="005F32DE">
        <w:rPr>
          <w:rFonts w:ascii="Trebuchet MS" w:hAnsi="Trebuchet MS"/>
          <w:bCs/>
          <w:sz w:val="20"/>
          <w:szCs w:val="20"/>
        </w:rPr>
        <w:t xml:space="preserve">Kaebajale jääb </w:t>
      </w:r>
      <w:r w:rsidR="00384843" w:rsidRPr="005F32DE">
        <w:rPr>
          <w:rFonts w:ascii="Trebuchet MS" w:hAnsi="Trebuchet MS"/>
          <w:bCs/>
          <w:sz w:val="20"/>
          <w:szCs w:val="20"/>
        </w:rPr>
        <w:lastRenderedPageBreak/>
        <w:t>täiesti arusaamatuks, k</w:t>
      </w:r>
      <w:r w:rsidR="00C40C17" w:rsidRPr="005F32DE">
        <w:rPr>
          <w:rFonts w:ascii="Trebuchet MS" w:hAnsi="Trebuchet MS"/>
          <w:bCs/>
          <w:sz w:val="20"/>
          <w:szCs w:val="20"/>
        </w:rPr>
        <w:t>uidas sai mõistlik</w:t>
      </w:r>
      <w:r w:rsidR="002D5BE9" w:rsidRPr="005F32DE">
        <w:rPr>
          <w:rFonts w:ascii="Trebuchet MS" w:hAnsi="Trebuchet MS"/>
          <w:bCs/>
          <w:sz w:val="20"/>
          <w:szCs w:val="20"/>
        </w:rPr>
        <w:t xml:space="preserve"> isik </w:t>
      </w:r>
      <w:r w:rsidR="00C40C17" w:rsidRPr="005F32DE">
        <w:rPr>
          <w:rFonts w:ascii="Trebuchet MS" w:hAnsi="Trebuchet MS"/>
          <w:bCs/>
          <w:sz w:val="20"/>
          <w:szCs w:val="20"/>
        </w:rPr>
        <w:t>ettekirjutuse</w:t>
      </w:r>
      <w:r w:rsidR="00384843" w:rsidRPr="005F32DE">
        <w:rPr>
          <w:rFonts w:ascii="Trebuchet MS" w:hAnsi="Trebuchet MS"/>
          <w:bCs/>
          <w:sz w:val="20"/>
          <w:szCs w:val="20"/>
        </w:rPr>
        <w:t xml:space="preserve"> tegemise</w:t>
      </w:r>
      <w:r w:rsidR="00C40C17" w:rsidRPr="005F32DE">
        <w:rPr>
          <w:rFonts w:ascii="Trebuchet MS" w:hAnsi="Trebuchet MS"/>
          <w:bCs/>
          <w:sz w:val="20"/>
          <w:szCs w:val="20"/>
        </w:rPr>
        <w:t xml:space="preserve">le eelnevalt </w:t>
      </w:r>
      <w:r w:rsidR="002D5BE9" w:rsidRPr="005F32DE">
        <w:rPr>
          <w:rFonts w:ascii="Trebuchet MS" w:hAnsi="Trebuchet MS"/>
          <w:bCs/>
          <w:sz w:val="20"/>
          <w:szCs w:val="20"/>
        </w:rPr>
        <w:t>eeldada, et tegemist võiks olla reg</w:t>
      </w:r>
      <w:r w:rsidR="00DE075A" w:rsidRPr="005F32DE">
        <w:rPr>
          <w:rFonts w:ascii="Trebuchet MS" w:hAnsi="Trebuchet MS"/>
          <w:bCs/>
          <w:sz w:val="20"/>
          <w:szCs w:val="20"/>
        </w:rPr>
        <w:t>uleeritud</w:t>
      </w:r>
      <w:r w:rsidR="002D5BE9" w:rsidRPr="005F32DE">
        <w:rPr>
          <w:rFonts w:ascii="Trebuchet MS" w:hAnsi="Trebuchet MS"/>
          <w:bCs/>
          <w:sz w:val="20"/>
          <w:szCs w:val="20"/>
        </w:rPr>
        <w:t xml:space="preserve"> valdkonnaga, kui</w:t>
      </w:r>
      <w:r w:rsidR="00CE34B0" w:rsidRPr="005F32DE">
        <w:rPr>
          <w:rFonts w:ascii="Trebuchet MS" w:hAnsi="Trebuchet MS"/>
          <w:bCs/>
          <w:sz w:val="20"/>
          <w:szCs w:val="20"/>
        </w:rPr>
        <w:t>:</w:t>
      </w:r>
      <w:r w:rsidR="002D5BE9" w:rsidRPr="005F32DE">
        <w:rPr>
          <w:rFonts w:ascii="Trebuchet MS" w:hAnsi="Trebuchet MS"/>
          <w:bCs/>
          <w:sz w:val="20"/>
          <w:szCs w:val="20"/>
        </w:rPr>
        <w:t xml:space="preserve"> </w:t>
      </w:r>
    </w:p>
    <w:p w14:paraId="258B89E5" w14:textId="30B2B5AE" w:rsidR="006D254C" w:rsidRPr="006D254C" w:rsidRDefault="006D254C" w:rsidP="002F6E44">
      <w:pPr>
        <w:pStyle w:val="ListParagraph"/>
        <w:numPr>
          <w:ilvl w:val="3"/>
          <w:numId w:val="27"/>
        </w:numPr>
        <w:spacing w:line="276" w:lineRule="auto"/>
        <w:ind w:left="1418" w:hanging="709"/>
        <w:rPr>
          <w:rFonts w:ascii="Trebuchet MS" w:hAnsi="Trebuchet MS"/>
          <w:bCs/>
          <w:sz w:val="20"/>
          <w:szCs w:val="20"/>
        </w:rPr>
      </w:pPr>
      <w:r w:rsidRPr="006D254C">
        <w:rPr>
          <w:rFonts w:ascii="Trebuchet MS" w:hAnsi="Trebuchet MS"/>
          <w:bCs/>
          <w:sz w:val="20"/>
          <w:szCs w:val="20"/>
          <w:lang w:val="en-US"/>
        </w:rPr>
        <w:t xml:space="preserve">03.01.2009 kasutusele võetud bitcoin on esimene krüptoraha maailmas ning selles kontekstis jääb arusaamatuks, kuidas sai </w:t>
      </w:r>
      <w:r>
        <w:rPr>
          <w:rFonts w:ascii="Trebuchet MS" w:hAnsi="Trebuchet MS"/>
          <w:bCs/>
          <w:sz w:val="20"/>
          <w:szCs w:val="20"/>
          <w:lang w:val="en-US"/>
        </w:rPr>
        <w:t xml:space="preserve">Eesti </w:t>
      </w:r>
      <w:r w:rsidRPr="006D254C">
        <w:rPr>
          <w:rFonts w:ascii="Trebuchet MS" w:hAnsi="Trebuchet MS"/>
          <w:bCs/>
          <w:sz w:val="20"/>
          <w:szCs w:val="20"/>
          <w:lang w:val="en-US"/>
        </w:rPr>
        <w:t>seadusandja krüptorahadega seonduvaid küsimusi reguleerida 19.12.2007 vastu võetud ja 28.01.2008 jõustunud RahaPTS-ga. Seaduseelnõu seletuskiri, mis peaks olema abiks seadusandja tahte väljaselgitamisel, vaikib krüptorahade (sh bitcoinide) reguleerimise soovi osas</w:t>
      </w:r>
      <w:r>
        <w:rPr>
          <w:rFonts w:ascii="Trebuchet MS" w:hAnsi="Trebuchet MS"/>
          <w:bCs/>
          <w:sz w:val="20"/>
          <w:szCs w:val="20"/>
          <w:lang w:val="en-US"/>
        </w:rPr>
        <w:t>;</w:t>
      </w:r>
      <w:r w:rsidRPr="006D254C">
        <w:rPr>
          <w:rFonts w:ascii="Trebuchet MS" w:hAnsi="Trebuchet MS"/>
          <w:bCs/>
          <w:sz w:val="20"/>
          <w:szCs w:val="20"/>
          <w:lang w:val="en-US"/>
        </w:rPr>
        <w:t xml:space="preserve"> </w:t>
      </w:r>
    </w:p>
    <w:p w14:paraId="342F95A7" w14:textId="7535E098" w:rsidR="00CE34B0" w:rsidRPr="005F32DE" w:rsidRDefault="002D5BE9" w:rsidP="002F6E44">
      <w:pPr>
        <w:pStyle w:val="ListParagraph"/>
        <w:numPr>
          <w:ilvl w:val="3"/>
          <w:numId w:val="27"/>
        </w:numPr>
        <w:spacing w:line="276" w:lineRule="auto"/>
        <w:ind w:left="1418" w:hanging="709"/>
        <w:rPr>
          <w:rFonts w:ascii="Trebuchet MS" w:hAnsi="Trebuchet MS"/>
          <w:bCs/>
          <w:sz w:val="20"/>
          <w:szCs w:val="20"/>
        </w:rPr>
      </w:pPr>
      <w:r w:rsidRPr="005F32DE">
        <w:rPr>
          <w:rFonts w:ascii="Trebuchet MS" w:hAnsi="Trebuchet MS"/>
          <w:bCs/>
          <w:sz w:val="20"/>
          <w:szCs w:val="20"/>
        </w:rPr>
        <w:t xml:space="preserve">RAB ega ükski teine Eesti ja Euroopa Liidu </w:t>
      </w:r>
      <w:r w:rsidR="00C40C17" w:rsidRPr="005F32DE">
        <w:rPr>
          <w:rFonts w:ascii="Trebuchet MS" w:hAnsi="Trebuchet MS"/>
          <w:bCs/>
          <w:sz w:val="20"/>
          <w:szCs w:val="20"/>
        </w:rPr>
        <w:t>asjassepuutuv asutus ei olnud</w:t>
      </w:r>
      <w:r w:rsidRPr="005F32DE">
        <w:rPr>
          <w:rFonts w:ascii="Trebuchet MS" w:hAnsi="Trebuchet MS"/>
          <w:bCs/>
          <w:sz w:val="20"/>
          <w:szCs w:val="20"/>
        </w:rPr>
        <w:t xml:space="preserve"> avaldanud mitte ühtegi juhendit bitcoinide või </w:t>
      </w:r>
      <w:r w:rsidR="002A22EB" w:rsidRPr="005F32DE">
        <w:rPr>
          <w:rFonts w:ascii="Trebuchet MS" w:hAnsi="Trebuchet MS"/>
          <w:bCs/>
          <w:sz w:val="20"/>
          <w:szCs w:val="20"/>
        </w:rPr>
        <w:t xml:space="preserve">tervikuna virtuaalrahade kohta ning pigem on </w:t>
      </w:r>
      <w:r w:rsidR="00C40C17" w:rsidRPr="005F32DE">
        <w:rPr>
          <w:rFonts w:ascii="Trebuchet MS" w:hAnsi="Trebuchet MS"/>
          <w:bCs/>
          <w:sz w:val="20"/>
          <w:szCs w:val="20"/>
        </w:rPr>
        <w:t>viidatud sellele, et tegemist oli tollel</w:t>
      </w:r>
      <w:r w:rsidR="002A22EB" w:rsidRPr="005F32DE">
        <w:rPr>
          <w:rFonts w:ascii="Trebuchet MS" w:hAnsi="Trebuchet MS"/>
          <w:bCs/>
          <w:sz w:val="20"/>
          <w:szCs w:val="20"/>
        </w:rPr>
        <w:t xml:space="preserve"> h</w:t>
      </w:r>
      <w:r w:rsidR="00384843" w:rsidRPr="005F32DE">
        <w:rPr>
          <w:rFonts w:ascii="Trebuchet MS" w:hAnsi="Trebuchet MS"/>
          <w:bCs/>
          <w:sz w:val="20"/>
          <w:szCs w:val="20"/>
        </w:rPr>
        <w:t>etkel reguleerimata valdkonnaga (v</w:t>
      </w:r>
      <w:r w:rsidR="002A22EB" w:rsidRPr="005F32DE">
        <w:rPr>
          <w:rFonts w:ascii="Trebuchet MS" w:hAnsi="Trebuchet MS"/>
          <w:bCs/>
          <w:sz w:val="20"/>
          <w:szCs w:val="20"/>
        </w:rPr>
        <w:t xml:space="preserve">t </w:t>
      </w:r>
      <w:r w:rsidR="00384843" w:rsidRPr="005F32DE">
        <w:rPr>
          <w:rFonts w:ascii="Trebuchet MS" w:hAnsi="Trebuchet MS"/>
          <w:bCs/>
          <w:sz w:val="20"/>
          <w:szCs w:val="20"/>
        </w:rPr>
        <w:t>ka kassatsi</w:t>
      </w:r>
      <w:r w:rsidR="002A22EB" w:rsidRPr="005F32DE">
        <w:rPr>
          <w:rFonts w:ascii="Trebuchet MS" w:hAnsi="Trebuchet MS"/>
          <w:bCs/>
          <w:sz w:val="20"/>
          <w:szCs w:val="20"/>
        </w:rPr>
        <w:t>oonkaebuse</w:t>
      </w:r>
      <w:r w:rsidR="00C40C17" w:rsidRPr="005F32DE">
        <w:rPr>
          <w:rFonts w:ascii="Trebuchet MS" w:hAnsi="Trebuchet MS"/>
          <w:bCs/>
          <w:sz w:val="20"/>
          <w:szCs w:val="20"/>
        </w:rPr>
        <w:t xml:space="preserve"> p</w:t>
      </w:r>
      <w:r w:rsidR="00384843" w:rsidRPr="005F32DE">
        <w:rPr>
          <w:rFonts w:ascii="Trebuchet MS" w:hAnsi="Trebuchet MS"/>
          <w:bCs/>
          <w:sz w:val="20"/>
          <w:szCs w:val="20"/>
        </w:rPr>
        <w:t>-d 2.1.1 ja 2.1.6</w:t>
      </w:r>
      <w:r w:rsidR="00CE34B0" w:rsidRPr="005F32DE">
        <w:rPr>
          <w:rFonts w:ascii="Trebuchet MS" w:hAnsi="Trebuchet MS"/>
          <w:bCs/>
          <w:sz w:val="20"/>
          <w:szCs w:val="20"/>
        </w:rPr>
        <w:t>);</w:t>
      </w:r>
      <w:r w:rsidR="00C40C17" w:rsidRPr="005F32DE">
        <w:rPr>
          <w:rFonts w:ascii="Trebuchet MS" w:hAnsi="Trebuchet MS"/>
          <w:bCs/>
          <w:sz w:val="20"/>
          <w:szCs w:val="20"/>
        </w:rPr>
        <w:t xml:space="preserve"> </w:t>
      </w:r>
    </w:p>
    <w:p w14:paraId="03E30F9B" w14:textId="37F76FAA" w:rsidR="00CE34B0" w:rsidRPr="005F32DE" w:rsidRDefault="00C40C17" w:rsidP="002F6E44">
      <w:pPr>
        <w:pStyle w:val="ListParagraph"/>
        <w:numPr>
          <w:ilvl w:val="3"/>
          <w:numId w:val="27"/>
        </w:numPr>
        <w:spacing w:line="276" w:lineRule="auto"/>
        <w:ind w:left="1418" w:hanging="709"/>
        <w:rPr>
          <w:rFonts w:ascii="Trebuchet MS" w:hAnsi="Trebuchet MS"/>
          <w:bCs/>
          <w:sz w:val="20"/>
          <w:szCs w:val="20"/>
        </w:rPr>
      </w:pPr>
      <w:r w:rsidRPr="005F32DE">
        <w:rPr>
          <w:rFonts w:ascii="Trebuchet MS" w:hAnsi="Trebuchet MS"/>
          <w:bCs/>
          <w:sz w:val="20"/>
          <w:szCs w:val="20"/>
        </w:rPr>
        <w:t xml:space="preserve">Euroopa Liidus ja EL-i liikmesriikides </w:t>
      </w:r>
      <w:r w:rsidR="00CE34B0" w:rsidRPr="005F32DE">
        <w:rPr>
          <w:rFonts w:ascii="Trebuchet MS" w:hAnsi="Trebuchet MS"/>
          <w:bCs/>
          <w:sz w:val="20"/>
          <w:szCs w:val="20"/>
        </w:rPr>
        <w:t>on pigem asutud seisukohale</w:t>
      </w:r>
      <w:r w:rsidRPr="005F32DE">
        <w:rPr>
          <w:rFonts w:ascii="Trebuchet MS" w:hAnsi="Trebuchet MS"/>
          <w:bCs/>
          <w:sz w:val="20"/>
          <w:szCs w:val="20"/>
        </w:rPr>
        <w:t xml:space="preserve">, et tegemist on reguleerimata valdkonnaga (vt </w:t>
      </w:r>
      <w:r w:rsidR="00CE34B0" w:rsidRPr="005F32DE">
        <w:rPr>
          <w:rFonts w:ascii="Trebuchet MS" w:hAnsi="Trebuchet MS"/>
          <w:bCs/>
          <w:sz w:val="20"/>
          <w:szCs w:val="20"/>
        </w:rPr>
        <w:t xml:space="preserve">kaebaja </w:t>
      </w:r>
      <w:r w:rsidRPr="005F32DE">
        <w:rPr>
          <w:rFonts w:ascii="Trebuchet MS" w:hAnsi="Trebuchet MS"/>
          <w:bCs/>
          <w:sz w:val="20"/>
          <w:szCs w:val="20"/>
        </w:rPr>
        <w:t xml:space="preserve">kohtukõne kirjalikud seisukohad </w:t>
      </w:r>
      <w:r w:rsidR="00CE34B0" w:rsidRPr="005F32DE">
        <w:rPr>
          <w:rFonts w:ascii="Trebuchet MS" w:hAnsi="Trebuchet MS"/>
          <w:bCs/>
          <w:sz w:val="20"/>
          <w:szCs w:val="20"/>
        </w:rPr>
        <w:t>ringkonnakohtus, p-d 1.3, 1.4 ja</w:t>
      </w:r>
      <w:r w:rsidRPr="005F32DE">
        <w:rPr>
          <w:rFonts w:ascii="Trebuchet MS" w:hAnsi="Trebuchet MS"/>
          <w:bCs/>
          <w:sz w:val="20"/>
          <w:szCs w:val="20"/>
        </w:rPr>
        <w:t xml:space="preserve"> 1.5)</w:t>
      </w:r>
      <w:r w:rsidR="00CE34B0" w:rsidRPr="005F32DE">
        <w:rPr>
          <w:rFonts w:ascii="Trebuchet MS" w:hAnsi="Trebuchet MS"/>
          <w:bCs/>
          <w:sz w:val="20"/>
          <w:szCs w:val="20"/>
        </w:rPr>
        <w:t>;</w:t>
      </w:r>
      <w:r w:rsidR="009F23A5" w:rsidRPr="005F32DE">
        <w:rPr>
          <w:rFonts w:ascii="Trebuchet MS" w:hAnsi="Trebuchet MS"/>
          <w:bCs/>
          <w:sz w:val="20"/>
          <w:szCs w:val="20"/>
        </w:rPr>
        <w:t xml:space="preserve"> </w:t>
      </w:r>
    </w:p>
    <w:p w14:paraId="6114C03F" w14:textId="50D6D19A" w:rsidR="00CE34B0" w:rsidRPr="005F32DE" w:rsidRDefault="009F23A5" w:rsidP="002F6E44">
      <w:pPr>
        <w:pStyle w:val="ListParagraph"/>
        <w:numPr>
          <w:ilvl w:val="3"/>
          <w:numId w:val="27"/>
        </w:numPr>
        <w:spacing w:line="276" w:lineRule="auto"/>
        <w:ind w:left="1418" w:hanging="709"/>
        <w:rPr>
          <w:rFonts w:ascii="Trebuchet MS" w:hAnsi="Trebuchet MS"/>
          <w:bCs/>
          <w:sz w:val="20"/>
          <w:szCs w:val="20"/>
        </w:rPr>
      </w:pPr>
      <w:r w:rsidRPr="005F32DE">
        <w:rPr>
          <w:rFonts w:ascii="Trebuchet MS" w:hAnsi="Trebuchet MS"/>
          <w:bCs/>
          <w:sz w:val="20"/>
          <w:szCs w:val="20"/>
        </w:rPr>
        <w:t>FATF-i raport virtuaal- ja krüptorah</w:t>
      </w:r>
      <w:r w:rsidR="00384843" w:rsidRPr="005F32DE">
        <w:rPr>
          <w:rFonts w:ascii="Trebuchet MS" w:hAnsi="Trebuchet MS"/>
          <w:bCs/>
          <w:sz w:val="20"/>
          <w:szCs w:val="20"/>
        </w:rPr>
        <w:t xml:space="preserve">ade võtmedefinitsioonide kohta avaldati </w:t>
      </w:r>
      <w:r w:rsidRPr="005F32DE">
        <w:rPr>
          <w:rFonts w:ascii="Trebuchet MS" w:hAnsi="Trebuchet MS"/>
          <w:bCs/>
          <w:sz w:val="20"/>
          <w:szCs w:val="20"/>
        </w:rPr>
        <w:t xml:space="preserve">alles </w:t>
      </w:r>
      <w:r w:rsidR="00384843" w:rsidRPr="005F32DE">
        <w:rPr>
          <w:rFonts w:ascii="Trebuchet MS" w:hAnsi="Trebuchet MS"/>
          <w:bCs/>
          <w:sz w:val="20"/>
          <w:szCs w:val="20"/>
        </w:rPr>
        <w:t>2014. a</w:t>
      </w:r>
      <w:r w:rsidRPr="005F32DE">
        <w:rPr>
          <w:rFonts w:ascii="Trebuchet MS" w:hAnsi="Trebuchet MS"/>
          <w:bCs/>
          <w:sz w:val="20"/>
          <w:szCs w:val="20"/>
        </w:rPr>
        <w:t xml:space="preserve"> juunis, </w:t>
      </w:r>
      <w:r w:rsidR="00384843" w:rsidRPr="005F32DE">
        <w:rPr>
          <w:rFonts w:ascii="Trebuchet MS" w:hAnsi="Trebuchet MS"/>
          <w:bCs/>
          <w:sz w:val="20"/>
          <w:szCs w:val="20"/>
        </w:rPr>
        <w:t>s.o pärast</w:t>
      </w:r>
      <w:r w:rsidR="00A04236" w:rsidRPr="005F32DE">
        <w:rPr>
          <w:rFonts w:ascii="Trebuchet MS" w:hAnsi="Trebuchet MS"/>
          <w:bCs/>
          <w:sz w:val="20"/>
          <w:szCs w:val="20"/>
        </w:rPr>
        <w:t xml:space="preserve"> ettekirjutuse esitamist</w:t>
      </w:r>
      <w:r w:rsidR="00CE34B0" w:rsidRPr="005F32DE">
        <w:rPr>
          <w:rFonts w:ascii="Trebuchet MS" w:hAnsi="Trebuchet MS"/>
          <w:bCs/>
          <w:sz w:val="20"/>
          <w:szCs w:val="20"/>
        </w:rPr>
        <w:t>;</w:t>
      </w:r>
    </w:p>
    <w:p w14:paraId="1A311894" w14:textId="0EE2F06A" w:rsidR="00B8033E" w:rsidRPr="005F32DE" w:rsidRDefault="00DE0372" w:rsidP="002F6E44">
      <w:pPr>
        <w:pStyle w:val="ListParagraph"/>
        <w:numPr>
          <w:ilvl w:val="3"/>
          <w:numId w:val="27"/>
        </w:numPr>
        <w:tabs>
          <w:tab w:val="clear" w:pos="720"/>
          <w:tab w:val="num" w:pos="1418"/>
        </w:tabs>
        <w:spacing w:line="276" w:lineRule="auto"/>
        <w:ind w:left="1418" w:hanging="709"/>
        <w:rPr>
          <w:rFonts w:ascii="Trebuchet MS" w:hAnsi="Trebuchet MS"/>
          <w:bCs/>
          <w:sz w:val="20"/>
          <w:szCs w:val="20"/>
        </w:rPr>
      </w:pPr>
      <w:r w:rsidRPr="005F32DE">
        <w:rPr>
          <w:rFonts w:ascii="Trebuchet MS" w:hAnsi="Trebuchet MS"/>
          <w:bCs/>
          <w:sz w:val="20"/>
          <w:szCs w:val="20"/>
        </w:rPr>
        <w:t>valitsusliidu tegevuskava</w:t>
      </w:r>
      <w:r w:rsidRPr="005F32DE">
        <w:rPr>
          <w:vertAlign w:val="superscript"/>
        </w:rPr>
        <w:footnoteReference w:id="11"/>
      </w:r>
      <w:r w:rsidR="00CE34B0" w:rsidRPr="005F32DE">
        <w:rPr>
          <w:rFonts w:ascii="Trebuchet MS" w:hAnsi="Trebuchet MS"/>
          <w:bCs/>
          <w:sz w:val="20"/>
          <w:szCs w:val="20"/>
        </w:rPr>
        <w:t xml:space="preserve"> aastateks 2015-2019</w:t>
      </w:r>
      <w:r w:rsidRPr="005F32DE">
        <w:rPr>
          <w:rFonts w:ascii="Trebuchet MS" w:hAnsi="Trebuchet MS"/>
          <w:bCs/>
          <w:sz w:val="20"/>
          <w:szCs w:val="20"/>
        </w:rPr>
        <w:t xml:space="preserve"> </w:t>
      </w:r>
      <w:r w:rsidR="00CE34B0" w:rsidRPr="005F32DE">
        <w:rPr>
          <w:rFonts w:ascii="Trebuchet MS" w:hAnsi="Trebuchet MS"/>
          <w:bCs/>
          <w:sz w:val="20"/>
          <w:szCs w:val="20"/>
        </w:rPr>
        <w:t>p</w:t>
      </w:r>
      <w:r w:rsidRPr="005F32DE">
        <w:rPr>
          <w:rFonts w:ascii="Trebuchet MS" w:hAnsi="Trebuchet MS"/>
          <w:bCs/>
          <w:sz w:val="20"/>
          <w:szCs w:val="20"/>
        </w:rPr>
        <w:t xml:space="preserve"> 8.66 seab eesmärgiks töötada välja virtuaalvaluutade võimaliku tunnustamise ja kasutamise poliitika. Sellest nähtub, et ka Vabariigi Valitsuse arvates puudub hetkel virtuaalsel valuutal õiguslik staatus ning seega ei saa seda lugeda alternatiivseks maksevahendiks.</w:t>
      </w:r>
    </w:p>
    <w:p w14:paraId="4476D62B" w14:textId="77777777" w:rsidR="004C2C41" w:rsidRPr="005F32DE" w:rsidRDefault="004C2C41" w:rsidP="004C2C41">
      <w:pPr>
        <w:tabs>
          <w:tab w:val="num" w:pos="709"/>
        </w:tabs>
        <w:spacing w:line="276" w:lineRule="auto"/>
        <w:ind w:left="142"/>
        <w:rPr>
          <w:bCs/>
          <w:szCs w:val="20"/>
          <w:lang w:val="et-EE"/>
        </w:rPr>
      </w:pPr>
    </w:p>
    <w:p w14:paraId="71DEDD21" w14:textId="01D22FE8" w:rsidR="00806734" w:rsidRPr="005F32DE" w:rsidRDefault="00C303E6" w:rsidP="002F6E44">
      <w:pPr>
        <w:pStyle w:val="ListParagraph"/>
        <w:numPr>
          <w:ilvl w:val="2"/>
          <w:numId w:val="27"/>
        </w:numPr>
        <w:spacing w:line="276" w:lineRule="auto"/>
        <w:ind w:left="709" w:hanging="709"/>
        <w:contextualSpacing w:val="0"/>
        <w:rPr>
          <w:rFonts w:ascii="Trebuchet MS" w:hAnsi="Trebuchet MS"/>
          <w:bCs/>
          <w:sz w:val="20"/>
          <w:szCs w:val="20"/>
        </w:rPr>
      </w:pPr>
      <w:r w:rsidRPr="005F32DE">
        <w:rPr>
          <w:rFonts w:ascii="Trebuchet MS" w:hAnsi="Trebuchet MS"/>
          <w:sz w:val="20"/>
          <w:szCs w:val="20"/>
        </w:rPr>
        <w:t>Seadus peaks olema küll teatava üldistusastmega, kuid see ei tohiks viia olukorrani, kus keskmiste võimetega isik ei saa ette näha tagajärgi, mida teatud tegevus võib kaasa tuua</w:t>
      </w:r>
      <w:r w:rsidR="009F23A5" w:rsidRPr="005F32DE">
        <w:rPr>
          <w:rFonts w:ascii="Trebuchet MS" w:hAnsi="Trebuchet MS"/>
          <w:sz w:val="20"/>
          <w:szCs w:val="20"/>
        </w:rPr>
        <w:t>.</w:t>
      </w:r>
      <w:r w:rsidR="00D4788D" w:rsidRPr="005F32DE">
        <w:rPr>
          <w:rFonts w:ascii="Trebuchet MS" w:hAnsi="Trebuchet MS"/>
          <w:sz w:val="20"/>
          <w:szCs w:val="20"/>
        </w:rPr>
        <w:t xml:space="preserve"> </w:t>
      </w:r>
      <w:r w:rsidRPr="005F32DE">
        <w:rPr>
          <w:rFonts w:ascii="Trebuchet MS" w:hAnsi="Trebuchet MS"/>
          <w:sz w:val="20"/>
          <w:szCs w:val="20"/>
        </w:rPr>
        <w:t xml:space="preserve">Seega peavad normid </w:t>
      </w:r>
      <w:r w:rsidR="00D4788D" w:rsidRPr="005F32DE">
        <w:rPr>
          <w:rFonts w:ascii="Trebuchet MS" w:hAnsi="Trebuchet MS"/>
          <w:sz w:val="20"/>
          <w:szCs w:val="20"/>
        </w:rPr>
        <w:t>olema</w:t>
      </w:r>
      <w:r w:rsidRPr="005F32DE">
        <w:rPr>
          <w:rFonts w:ascii="Trebuchet MS" w:hAnsi="Trebuchet MS"/>
          <w:sz w:val="20"/>
          <w:szCs w:val="20"/>
        </w:rPr>
        <w:t xml:space="preserve"> selged ja täpsed. </w:t>
      </w:r>
      <w:r w:rsidR="00D4788D" w:rsidRPr="005F32DE">
        <w:rPr>
          <w:rFonts w:ascii="Trebuchet MS" w:hAnsi="Trebuchet MS"/>
          <w:sz w:val="20"/>
          <w:szCs w:val="20"/>
        </w:rPr>
        <w:t>Riigikohus on välja toonud, et s</w:t>
      </w:r>
      <w:r w:rsidRPr="005F32DE">
        <w:rPr>
          <w:rFonts w:ascii="Trebuchet MS" w:hAnsi="Trebuchet MS"/>
          <w:sz w:val="20"/>
          <w:szCs w:val="20"/>
        </w:rPr>
        <w:t>elgemad ja täpsemad peavad olema normid, mis võimaldavad isiku õigusi piirata</w:t>
      </w:r>
      <w:r w:rsidR="00D4788D" w:rsidRPr="005F32DE">
        <w:rPr>
          <w:rStyle w:val="FootnoteReference"/>
          <w:rFonts w:ascii="Trebuchet MS" w:hAnsi="Trebuchet MS"/>
          <w:sz w:val="20"/>
          <w:szCs w:val="20"/>
        </w:rPr>
        <w:footnoteReference w:id="12"/>
      </w:r>
      <w:r w:rsidRPr="005F32DE">
        <w:rPr>
          <w:rFonts w:ascii="Trebuchet MS" w:hAnsi="Trebuchet MS"/>
          <w:sz w:val="20"/>
          <w:szCs w:val="20"/>
        </w:rPr>
        <w:t>.</w:t>
      </w:r>
      <w:r w:rsidR="006D254C">
        <w:rPr>
          <w:rFonts w:ascii="Trebuchet MS" w:hAnsi="Trebuchet MS"/>
          <w:sz w:val="20"/>
          <w:szCs w:val="20"/>
        </w:rPr>
        <w:t xml:space="preserve"> Osundatud</w:t>
      </w:r>
      <w:r w:rsidR="00D4788D" w:rsidRPr="005F32DE">
        <w:rPr>
          <w:rFonts w:ascii="Trebuchet MS" w:hAnsi="Trebuchet MS"/>
          <w:sz w:val="20"/>
          <w:szCs w:val="20"/>
        </w:rPr>
        <w:t xml:space="preserve"> lahendis käsitleti eraõi</w:t>
      </w:r>
      <w:r w:rsidR="00A1705E" w:rsidRPr="005F32DE">
        <w:rPr>
          <w:rFonts w:ascii="Trebuchet MS" w:hAnsi="Trebuchet MS"/>
          <w:sz w:val="20"/>
          <w:szCs w:val="20"/>
        </w:rPr>
        <w:t>guslikku sätet</w:t>
      </w:r>
      <w:r w:rsidR="009F23A5" w:rsidRPr="005F32DE">
        <w:rPr>
          <w:rFonts w:ascii="Trebuchet MS" w:hAnsi="Trebuchet MS"/>
          <w:sz w:val="20"/>
          <w:szCs w:val="20"/>
        </w:rPr>
        <w:t xml:space="preserve">, kuid RahaPTS § 6 lg 2 p 4 ja lg 4 puhul on tegemist </w:t>
      </w:r>
      <w:r w:rsidR="008D2199" w:rsidRPr="005F32DE">
        <w:rPr>
          <w:rFonts w:ascii="Trebuchet MS" w:hAnsi="Trebuchet MS"/>
          <w:sz w:val="20"/>
          <w:szCs w:val="20"/>
        </w:rPr>
        <w:t xml:space="preserve">isiku õigusi piiravate </w:t>
      </w:r>
      <w:r w:rsidR="009F23A5" w:rsidRPr="005F32DE">
        <w:rPr>
          <w:rFonts w:ascii="Trebuchet MS" w:hAnsi="Trebuchet MS"/>
          <w:sz w:val="20"/>
          <w:szCs w:val="20"/>
        </w:rPr>
        <w:t>avalik</w:t>
      </w:r>
      <w:r w:rsidR="000E271D" w:rsidRPr="005F32DE">
        <w:rPr>
          <w:rFonts w:ascii="Trebuchet MS" w:hAnsi="Trebuchet MS"/>
          <w:sz w:val="20"/>
          <w:szCs w:val="20"/>
        </w:rPr>
        <w:t>-õiguslike sätetega</w:t>
      </w:r>
      <w:r w:rsidR="007D1928" w:rsidRPr="005F32DE">
        <w:rPr>
          <w:rFonts w:ascii="Trebuchet MS" w:hAnsi="Trebuchet MS"/>
          <w:sz w:val="20"/>
          <w:szCs w:val="20"/>
        </w:rPr>
        <w:t xml:space="preserve"> - a</w:t>
      </w:r>
      <w:r w:rsidR="009F23A5" w:rsidRPr="005F32DE">
        <w:rPr>
          <w:rFonts w:ascii="Trebuchet MS" w:hAnsi="Trebuchet MS"/>
          <w:sz w:val="20"/>
          <w:szCs w:val="20"/>
        </w:rPr>
        <w:t>valik-õiguslik</w:t>
      </w:r>
      <w:r w:rsidR="007D1928" w:rsidRPr="005F32DE">
        <w:rPr>
          <w:rFonts w:ascii="Trebuchet MS" w:hAnsi="Trebuchet MS"/>
          <w:sz w:val="20"/>
          <w:szCs w:val="20"/>
        </w:rPr>
        <w:t>ud</w:t>
      </w:r>
      <w:r w:rsidR="009F23A5" w:rsidRPr="005F32DE">
        <w:rPr>
          <w:rFonts w:ascii="Trebuchet MS" w:hAnsi="Trebuchet MS"/>
          <w:sz w:val="20"/>
          <w:szCs w:val="20"/>
        </w:rPr>
        <w:t xml:space="preserve"> normid, mis piiravad</w:t>
      </w:r>
      <w:r w:rsidR="00A1705E" w:rsidRPr="005F32DE">
        <w:rPr>
          <w:rFonts w:ascii="Trebuchet MS" w:hAnsi="Trebuchet MS"/>
          <w:sz w:val="20"/>
          <w:szCs w:val="20"/>
        </w:rPr>
        <w:t xml:space="preserve"> isiku õigusi</w:t>
      </w:r>
      <w:r w:rsidR="007D1928" w:rsidRPr="005F32DE">
        <w:rPr>
          <w:rFonts w:ascii="Trebuchet MS" w:hAnsi="Trebuchet MS"/>
          <w:sz w:val="20"/>
          <w:szCs w:val="20"/>
        </w:rPr>
        <w:t>,</w:t>
      </w:r>
      <w:r w:rsidR="00A1705E" w:rsidRPr="005F32DE">
        <w:rPr>
          <w:rFonts w:ascii="Trebuchet MS" w:hAnsi="Trebuchet MS"/>
          <w:sz w:val="20"/>
          <w:szCs w:val="20"/>
        </w:rPr>
        <w:t xml:space="preserve"> peavad olema veelgi</w:t>
      </w:r>
      <w:r w:rsidR="009F23A5" w:rsidRPr="005F32DE">
        <w:rPr>
          <w:rFonts w:ascii="Trebuchet MS" w:hAnsi="Trebuchet MS"/>
          <w:sz w:val="20"/>
          <w:szCs w:val="20"/>
        </w:rPr>
        <w:t xml:space="preserve"> täpse</w:t>
      </w:r>
      <w:r w:rsidR="00A1705E" w:rsidRPr="005F32DE">
        <w:rPr>
          <w:rFonts w:ascii="Trebuchet MS" w:hAnsi="Trebuchet MS"/>
          <w:sz w:val="20"/>
          <w:szCs w:val="20"/>
        </w:rPr>
        <w:t>ma</w:t>
      </w:r>
      <w:r w:rsidR="009F23A5" w:rsidRPr="005F32DE">
        <w:rPr>
          <w:rFonts w:ascii="Trebuchet MS" w:hAnsi="Trebuchet MS"/>
          <w:sz w:val="20"/>
          <w:szCs w:val="20"/>
        </w:rPr>
        <w:t xml:space="preserve">d ja </w:t>
      </w:r>
      <w:r w:rsidR="00A1705E" w:rsidRPr="005F32DE">
        <w:rPr>
          <w:rFonts w:ascii="Trebuchet MS" w:hAnsi="Trebuchet MS"/>
          <w:sz w:val="20"/>
          <w:szCs w:val="20"/>
        </w:rPr>
        <w:t xml:space="preserve">selged. </w:t>
      </w:r>
      <w:r w:rsidR="007D1928" w:rsidRPr="005F32DE">
        <w:rPr>
          <w:rFonts w:ascii="Trebuchet MS" w:hAnsi="Trebuchet MS"/>
          <w:sz w:val="20"/>
          <w:szCs w:val="20"/>
        </w:rPr>
        <w:t xml:space="preserve">RahaPTS </w:t>
      </w:r>
      <w:r w:rsidR="000E271D" w:rsidRPr="005F32DE">
        <w:rPr>
          <w:rFonts w:ascii="Trebuchet MS" w:hAnsi="Trebuchet MS"/>
          <w:sz w:val="20"/>
          <w:szCs w:val="20"/>
        </w:rPr>
        <w:t>sätteid ega RAB-i tõlgendust nendest ei saa kindlasti pidada selgeks</w:t>
      </w:r>
      <w:r w:rsidR="00806734" w:rsidRPr="005F32DE">
        <w:rPr>
          <w:rFonts w:ascii="Trebuchet MS" w:hAnsi="Trebuchet MS"/>
          <w:sz w:val="20"/>
          <w:szCs w:val="20"/>
        </w:rPr>
        <w:t>, arvestades, et isikul, kes krüptorahaga ise kokkupuutunud oli, ei olnud võimalik näha ette, et krüptoraha peaks kuuluma eelmainitud sätete</w:t>
      </w:r>
      <w:r w:rsidR="007D1928" w:rsidRPr="005F32DE">
        <w:rPr>
          <w:rFonts w:ascii="Trebuchet MS" w:hAnsi="Trebuchet MS"/>
          <w:sz w:val="20"/>
          <w:szCs w:val="20"/>
        </w:rPr>
        <w:t xml:space="preserve"> reguleerimisalasse ning</w:t>
      </w:r>
      <w:r w:rsidR="00754761" w:rsidRPr="005F32DE">
        <w:rPr>
          <w:rFonts w:ascii="Trebuchet MS" w:hAnsi="Trebuchet MS"/>
          <w:sz w:val="20"/>
          <w:szCs w:val="20"/>
        </w:rPr>
        <w:t xml:space="preserve"> ka</w:t>
      </w:r>
      <w:r w:rsidR="00806734" w:rsidRPr="005F32DE">
        <w:rPr>
          <w:rFonts w:ascii="Trebuchet MS" w:hAnsi="Trebuchet MS"/>
          <w:sz w:val="20"/>
          <w:szCs w:val="20"/>
        </w:rPr>
        <w:t xml:space="preserve"> keskmiselt mõistlik isik ei saaks sellise</w:t>
      </w:r>
      <w:r w:rsidR="008D2199" w:rsidRPr="005F32DE">
        <w:rPr>
          <w:rFonts w:ascii="Trebuchet MS" w:hAnsi="Trebuchet MS"/>
          <w:sz w:val="20"/>
          <w:szCs w:val="20"/>
        </w:rPr>
        <w:t>l</w:t>
      </w:r>
      <w:r w:rsidR="00806734" w:rsidRPr="005F32DE">
        <w:rPr>
          <w:rFonts w:ascii="Trebuchet MS" w:hAnsi="Trebuchet MS"/>
          <w:sz w:val="20"/>
          <w:szCs w:val="20"/>
        </w:rPr>
        <w:t xml:space="preserve"> puhu</w:t>
      </w:r>
      <w:r w:rsidR="006D254C">
        <w:rPr>
          <w:rFonts w:ascii="Trebuchet MS" w:hAnsi="Trebuchet MS"/>
          <w:sz w:val="20"/>
          <w:szCs w:val="20"/>
        </w:rPr>
        <w:t>l ette näha vastavaid tagajärgi</w:t>
      </w:r>
      <w:r w:rsidR="00876447" w:rsidRPr="005F32DE">
        <w:rPr>
          <w:rFonts w:ascii="Trebuchet MS" w:hAnsi="Trebuchet MS"/>
          <w:bCs/>
          <w:sz w:val="20"/>
          <w:szCs w:val="20"/>
        </w:rPr>
        <w:t>.</w:t>
      </w:r>
    </w:p>
    <w:p w14:paraId="3E3F3BBF" w14:textId="77777777" w:rsidR="009822C7" w:rsidRPr="005F32DE" w:rsidRDefault="009822C7" w:rsidP="009822C7">
      <w:pPr>
        <w:tabs>
          <w:tab w:val="num" w:pos="709"/>
        </w:tabs>
        <w:spacing w:line="276" w:lineRule="auto"/>
        <w:ind w:left="142"/>
        <w:rPr>
          <w:bCs/>
          <w:szCs w:val="20"/>
          <w:lang w:val="et-EE"/>
        </w:rPr>
      </w:pPr>
    </w:p>
    <w:p w14:paraId="726571C2" w14:textId="684624AF" w:rsidR="009822C7" w:rsidRPr="005F32DE" w:rsidRDefault="009822C7" w:rsidP="002F6E44">
      <w:pPr>
        <w:pStyle w:val="ListParagraph"/>
        <w:numPr>
          <w:ilvl w:val="2"/>
          <w:numId w:val="27"/>
        </w:numPr>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Kaebaja peab oma väite põhistamiseks vajalikuks välja tuua ka positiivseid näiteid õiguspraktika kohta rahapesuvastaste regulatsioonide selgitamisel:</w:t>
      </w:r>
    </w:p>
    <w:p w14:paraId="51D9520D" w14:textId="4070F5E0" w:rsidR="002107A7" w:rsidRPr="005F32DE" w:rsidRDefault="00587FC5" w:rsidP="002F6E44">
      <w:pPr>
        <w:pStyle w:val="ListParagraph"/>
        <w:numPr>
          <w:ilvl w:val="3"/>
          <w:numId w:val="27"/>
        </w:numPr>
        <w:spacing w:line="276" w:lineRule="auto"/>
        <w:ind w:left="1418" w:hanging="709"/>
        <w:rPr>
          <w:rFonts w:ascii="Trebuchet MS" w:hAnsi="Trebuchet MS"/>
          <w:bCs/>
          <w:sz w:val="20"/>
          <w:szCs w:val="20"/>
        </w:rPr>
      </w:pPr>
      <w:r w:rsidRPr="005F32DE">
        <w:rPr>
          <w:rFonts w:ascii="Trebuchet MS" w:hAnsi="Trebuchet MS"/>
          <w:bCs/>
          <w:sz w:val="20"/>
          <w:szCs w:val="20"/>
        </w:rPr>
        <w:t xml:space="preserve">Eesti seadusandja on oma praktikas RahaPTS muutmisel pidanud väga oluliseks õigusselgust kohustatud subjekti mõiste sisustamisel – makseasutuste ja e-raha asutuste seaduse eelnõu seletuskirjas (lk 23) on põhjendatud makseteenuse pakkuja mõiste täpsustamist järgmiselt: </w:t>
      </w:r>
      <w:r w:rsidRPr="005F32DE">
        <w:rPr>
          <w:rFonts w:ascii="Trebuchet MS" w:hAnsi="Trebuchet MS"/>
          <w:bCs/>
          <w:i/>
          <w:sz w:val="20"/>
          <w:szCs w:val="20"/>
        </w:rPr>
        <w:t>§ 6 lg 2 muutmisega täpsustatakse finantseerimisasutuse mõistet rahapesu ja terrorismi rahastamise tõkestamise seaduse (RTRTS) tähenduses. Kehtiva RTRTS § 6 lõikes 2 toodud loetelu ei taga piisavat õigusselgust ja on praktikas osutunud vaieldavaks KrAS § 5 tõlgendamise osas. Makseteenuse pakkujaid käsitletakse RTRTS kohustatud isikuna ka kehtiva RTRTS tähenduses. Eelnõuga täpsustatakse, et makseteenuse pakkujaid käsitletakse RTRTS kohustatud isikuna makseasutuste ja e-raha asutuste seaduse tähenduses</w:t>
      </w:r>
      <w:r w:rsidRPr="005F32DE">
        <w:rPr>
          <w:rFonts w:ascii="Trebuchet MS" w:hAnsi="Trebuchet MS"/>
          <w:bCs/>
          <w:sz w:val="20"/>
          <w:szCs w:val="20"/>
        </w:rPr>
        <w:t>;</w:t>
      </w:r>
    </w:p>
    <w:p w14:paraId="65FA2CF5" w14:textId="0D051C49" w:rsidR="009822C7" w:rsidRPr="005F32DE" w:rsidRDefault="002107A7" w:rsidP="002F6E44">
      <w:pPr>
        <w:pStyle w:val="ListParagraph"/>
        <w:numPr>
          <w:ilvl w:val="3"/>
          <w:numId w:val="27"/>
        </w:numPr>
        <w:tabs>
          <w:tab w:val="clear" w:pos="720"/>
          <w:tab w:val="num" w:pos="1418"/>
        </w:tabs>
        <w:spacing w:line="276" w:lineRule="auto"/>
        <w:ind w:left="1418" w:hanging="709"/>
        <w:rPr>
          <w:rFonts w:ascii="Trebuchet MS" w:hAnsi="Trebuchet MS"/>
          <w:bCs/>
          <w:sz w:val="20"/>
          <w:szCs w:val="20"/>
        </w:rPr>
      </w:pPr>
      <w:r w:rsidRPr="005F32DE">
        <w:rPr>
          <w:rFonts w:ascii="Trebuchet MS" w:hAnsi="Trebuchet MS"/>
          <w:bCs/>
          <w:sz w:val="20"/>
          <w:szCs w:val="20"/>
        </w:rPr>
        <w:t>Finantsinspektsioon on välja andnud soovitusliku juhendi „Rahapesu ja terrorismi rahastamise tõkestamise meetmed krediidi- ja finantseerimisasutustes”, mis kohaldub üksnes Finantsinspektsiooni järelevalvesubjektidele ning millega selgitab turuosali</w:t>
      </w:r>
      <w:r w:rsidR="00676A01">
        <w:rPr>
          <w:rFonts w:ascii="Trebuchet MS" w:hAnsi="Trebuchet MS"/>
          <w:bCs/>
          <w:sz w:val="20"/>
          <w:szCs w:val="20"/>
        </w:rPr>
        <w:t>stele nende õigusi ja</w:t>
      </w:r>
      <w:r w:rsidRPr="005F32DE">
        <w:rPr>
          <w:rFonts w:ascii="Trebuchet MS" w:hAnsi="Trebuchet MS"/>
          <w:bCs/>
          <w:sz w:val="20"/>
          <w:szCs w:val="20"/>
        </w:rPr>
        <w:t xml:space="preserve"> kohustusi. See on hea näide sellest, kuidas riik peaks andma selgitusi ja juhendeid, et luua õigusselgust. Erinevalt Finantsinspektsioonist ei ole RAB </w:t>
      </w:r>
      <w:r w:rsidR="00F92FA5" w:rsidRPr="005F32DE">
        <w:rPr>
          <w:rFonts w:ascii="Trebuchet MS" w:hAnsi="Trebuchet MS"/>
          <w:bCs/>
          <w:sz w:val="20"/>
          <w:szCs w:val="20"/>
        </w:rPr>
        <w:t>avaldanud ühtegi</w:t>
      </w:r>
      <w:r w:rsidRPr="005F32DE">
        <w:rPr>
          <w:rFonts w:ascii="Trebuchet MS" w:hAnsi="Trebuchet MS"/>
          <w:bCs/>
          <w:sz w:val="20"/>
          <w:szCs w:val="20"/>
        </w:rPr>
        <w:t xml:space="preserve"> </w:t>
      </w:r>
      <w:r w:rsidR="00587FC5" w:rsidRPr="005F32DE">
        <w:rPr>
          <w:rFonts w:ascii="Trebuchet MS" w:hAnsi="Trebuchet MS"/>
          <w:bCs/>
          <w:sz w:val="20"/>
          <w:szCs w:val="20"/>
        </w:rPr>
        <w:t>juhendit</w:t>
      </w:r>
      <w:r w:rsidR="00676A01">
        <w:rPr>
          <w:rFonts w:ascii="Trebuchet MS" w:hAnsi="Trebuchet MS"/>
          <w:bCs/>
          <w:sz w:val="20"/>
          <w:szCs w:val="20"/>
        </w:rPr>
        <w:t xml:space="preserve"> RahaPTS sätete kohaldamisest finantseerimisasutuste suhtes, kes tegelevad alternatiivse maksevahendi teenuse pakkumisega</w:t>
      </w:r>
      <w:r w:rsidRPr="005F32DE">
        <w:rPr>
          <w:rFonts w:ascii="Trebuchet MS" w:hAnsi="Trebuchet MS"/>
          <w:bCs/>
          <w:sz w:val="20"/>
          <w:szCs w:val="20"/>
        </w:rPr>
        <w:t>.</w:t>
      </w:r>
    </w:p>
    <w:p w14:paraId="685E6045" w14:textId="77777777" w:rsidR="004C2C41" w:rsidRPr="005F32DE" w:rsidRDefault="004C2C41" w:rsidP="004C2C41">
      <w:pPr>
        <w:tabs>
          <w:tab w:val="num" w:pos="709"/>
        </w:tabs>
        <w:spacing w:line="276" w:lineRule="auto"/>
        <w:ind w:left="142"/>
        <w:rPr>
          <w:bCs/>
          <w:szCs w:val="20"/>
          <w:lang w:val="et-EE"/>
        </w:rPr>
      </w:pPr>
    </w:p>
    <w:p w14:paraId="731E5948" w14:textId="75680912" w:rsidR="007B78FA" w:rsidRDefault="007B78FA" w:rsidP="002F6E44">
      <w:pPr>
        <w:pStyle w:val="ListParagraph"/>
        <w:numPr>
          <w:ilvl w:val="2"/>
          <w:numId w:val="27"/>
        </w:numPr>
        <w:spacing w:line="276" w:lineRule="auto"/>
        <w:ind w:left="709" w:hanging="709"/>
        <w:contextualSpacing w:val="0"/>
        <w:rPr>
          <w:rFonts w:ascii="Trebuchet MS" w:hAnsi="Trebuchet MS"/>
          <w:bCs/>
          <w:sz w:val="20"/>
          <w:szCs w:val="20"/>
        </w:rPr>
      </w:pPr>
      <w:r>
        <w:rPr>
          <w:rFonts w:ascii="Trebuchet MS" w:hAnsi="Trebuchet MS"/>
          <w:bCs/>
          <w:sz w:val="20"/>
          <w:szCs w:val="20"/>
        </w:rPr>
        <w:t>Riigikohus ei ole senises praktikas pidanud võimalikuks RahaPTS § 40 lg-s 6 sätestatud meetme kohaldamise eelduste ja tingimuste laiendavat tõlgendamist ning seda vaatamata isegi asjaolule, et rahapesu kujutab endast olulist ohtu finantssüsteemile ja seetõttu on selle tõkestamise vastu kaalukas avalik huvi.</w:t>
      </w:r>
      <w:r>
        <w:rPr>
          <w:rStyle w:val="FootnoteReference"/>
          <w:rFonts w:ascii="Trebuchet MS" w:hAnsi="Trebuchet MS"/>
          <w:bCs/>
          <w:sz w:val="20"/>
          <w:szCs w:val="20"/>
        </w:rPr>
        <w:footnoteReference w:id="13"/>
      </w:r>
      <w:r>
        <w:rPr>
          <w:rFonts w:ascii="Trebuchet MS" w:hAnsi="Trebuchet MS"/>
          <w:bCs/>
          <w:sz w:val="20"/>
          <w:szCs w:val="20"/>
        </w:rPr>
        <w:t xml:space="preserve"> </w:t>
      </w:r>
      <w:r w:rsidR="001D344B">
        <w:rPr>
          <w:rFonts w:ascii="Trebuchet MS" w:hAnsi="Trebuchet MS"/>
          <w:bCs/>
          <w:sz w:val="20"/>
          <w:szCs w:val="20"/>
        </w:rPr>
        <w:t>Alama astme k</w:t>
      </w:r>
      <w:r w:rsidR="00440AFC">
        <w:rPr>
          <w:rFonts w:ascii="Trebuchet MS" w:hAnsi="Trebuchet MS"/>
          <w:bCs/>
          <w:sz w:val="20"/>
          <w:szCs w:val="20"/>
        </w:rPr>
        <w:t xml:space="preserve">ohtute ja RAB-i </w:t>
      </w:r>
      <w:r w:rsidR="005E5060">
        <w:rPr>
          <w:rFonts w:ascii="Trebuchet MS" w:hAnsi="Trebuchet MS"/>
          <w:bCs/>
          <w:sz w:val="20"/>
          <w:szCs w:val="20"/>
        </w:rPr>
        <w:t xml:space="preserve">laiendav </w:t>
      </w:r>
      <w:r w:rsidR="00440AFC">
        <w:rPr>
          <w:rFonts w:ascii="Trebuchet MS" w:hAnsi="Trebuchet MS"/>
          <w:bCs/>
          <w:sz w:val="20"/>
          <w:szCs w:val="20"/>
        </w:rPr>
        <w:t>tõlgend</w:t>
      </w:r>
      <w:r w:rsidR="005E5060">
        <w:rPr>
          <w:rFonts w:ascii="Trebuchet MS" w:hAnsi="Trebuchet MS"/>
          <w:bCs/>
          <w:sz w:val="20"/>
          <w:szCs w:val="20"/>
        </w:rPr>
        <w:t>us</w:t>
      </w:r>
      <w:r w:rsidR="00440AFC">
        <w:rPr>
          <w:rFonts w:ascii="Trebuchet MS" w:hAnsi="Trebuchet MS"/>
          <w:bCs/>
          <w:sz w:val="20"/>
          <w:szCs w:val="20"/>
        </w:rPr>
        <w:t xml:space="preserve"> </w:t>
      </w:r>
      <w:r w:rsidR="005E5060">
        <w:rPr>
          <w:rFonts w:ascii="Trebuchet MS" w:hAnsi="Trebuchet MS"/>
          <w:bCs/>
          <w:sz w:val="20"/>
          <w:szCs w:val="20"/>
        </w:rPr>
        <w:t>RahaPTS § 6 lg 2 p 4 ja lg 4 osas on vastuolus Riigikohtu juhistega</w:t>
      </w:r>
      <w:r w:rsidR="001D344B">
        <w:rPr>
          <w:rFonts w:ascii="Trebuchet MS" w:hAnsi="Trebuchet MS"/>
          <w:bCs/>
          <w:sz w:val="20"/>
          <w:szCs w:val="20"/>
        </w:rPr>
        <w:t xml:space="preserve"> ning riivab </w:t>
      </w:r>
      <w:r w:rsidR="000C2FA4">
        <w:rPr>
          <w:rFonts w:ascii="Trebuchet MS" w:hAnsi="Trebuchet MS"/>
          <w:bCs/>
          <w:sz w:val="20"/>
          <w:szCs w:val="20"/>
        </w:rPr>
        <w:t xml:space="preserve">elementaarset õigusriiklikku </w:t>
      </w:r>
      <w:r w:rsidR="001D344B">
        <w:rPr>
          <w:rFonts w:ascii="Trebuchet MS" w:hAnsi="Trebuchet MS"/>
          <w:bCs/>
          <w:sz w:val="20"/>
          <w:szCs w:val="20"/>
        </w:rPr>
        <w:t xml:space="preserve">seadusandja ainuõigust sätestada haldusorganite pädevus rahapesu tõkestamisel. </w:t>
      </w:r>
      <w:r w:rsidR="00440AFC">
        <w:rPr>
          <w:rFonts w:ascii="Trebuchet MS" w:hAnsi="Trebuchet MS"/>
          <w:bCs/>
          <w:sz w:val="20"/>
          <w:szCs w:val="20"/>
        </w:rPr>
        <w:t xml:space="preserve"> </w:t>
      </w:r>
    </w:p>
    <w:p w14:paraId="5407A290" w14:textId="77777777" w:rsidR="007B78FA" w:rsidRPr="007B78FA" w:rsidRDefault="007B78FA" w:rsidP="007B78FA">
      <w:pPr>
        <w:spacing w:line="276" w:lineRule="auto"/>
        <w:ind w:left="142"/>
        <w:rPr>
          <w:bCs/>
          <w:szCs w:val="20"/>
        </w:rPr>
      </w:pPr>
    </w:p>
    <w:p w14:paraId="6E853AF6" w14:textId="72EA0FAD" w:rsidR="00C303E6" w:rsidRPr="005F32DE" w:rsidRDefault="00A0520B" w:rsidP="002F6E44">
      <w:pPr>
        <w:pStyle w:val="ListParagraph"/>
        <w:numPr>
          <w:ilvl w:val="2"/>
          <w:numId w:val="27"/>
        </w:numPr>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Eeltoodust tulenevalt on kaebaja jätkuvalt seisukohal, et RahaPTS § 6 lg 2 p 4 ja lg 4 regulatsioon ei ole selge ning ei võimalda krütporahasid (sh bitcoine) ostval ja/või müüval isikul ette näha haldusorgani (nt RAB) tegevust, sh kohustust allutada enda tegevust RahaPTS regulatsioonidele. Tegemist on vastuoluga PS § 13 lg-ga 2 (õigusselguse põhimõte). Kaebaja peab võimalikuks ka põhiseaduskonformset tõlgendamist nii, et oleks tagatud kõnealuste sätete kooskõla põhiseadusega – see tähendaks aga kaebaja põhiseisukohaga (bitconide müümine ja ostmine või nendega kauplemine ei ole käsitletav alternatiivse maksevahendi teenuse pakkumisena RahaPTS tähenduses) nõustumist</w:t>
      </w:r>
      <w:r w:rsidR="007D18F4" w:rsidRPr="005F32DE">
        <w:rPr>
          <w:rFonts w:ascii="Trebuchet MS" w:hAnsi="Trebuchet MS"/>
          <w:bCs/>
          <w:sz w:val="20"/>
          <w:szCs w:val="20"/>
        </w:rPr>
        <w:t>.</w:t>
      </w:r>
    </w:p>
    <w:p w14:paraId="6C71FDB3" w14:textId="77777777" w:rsidR="004C2C41" w:rsidRPr="005F32DE" w:rsidRDefault="004C2C41" w:rsidP="004C2C41">
      <w:pPr>
        <w:tabs>
          <w:tab w:val="num" w:pos="709"/>
        </w:tabs>
        <w:spacing w:line="276" w:lineRule="auto"/>
        <w:rPr>
          <w:bCs/>
          <w:szCs w:val="20"/>
          <w:lang w:val="et-EE"/>
        </w:rPr>
      </w:pPr>
    </w:p>
    <w:p w14:paraId="5A2C14D7" w14:textId="007E801B" w:rsidR="0096634B" w:rsidRPr="005F32DE" w:rsidRDefault="00BA6099" w:rsidP="0075224C">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
          <w:bCs/>
          <w:sz w:val="20"/>
          <w:szCs w:val="20"/>
        </w:rPr>
        <w:t xml:space="preserve">Alama astme kohtud </w:t>
      </w:r>
      <w:r w:rsidR="0096634B" w:rsidRPr="005F32DE">
        <w:rPr>
          <w:rFonts w:ascii="Trebuchet MS" w:hAnsi="Trebuchet MS"/>
          <w:b/>
          <w:bCs/>
          <w:sz w:val="20"/>
          <w:szCs w:val="20"/>
        </w:rPr>
        <w:t xml:space="preserve">ja RAB on ebaõigesti leidnud, et virtuaal- ja krüptorahad (sh bitcoinid) tuleb liigitada alternatiivseteks maksevahenditeks </w:t>
      </w:r>
      <w:r w:rsidR="00430A62" w:rsidRPr="005F32DE">
        <w:rPr>
          <w:rFonts w:ascii="Trebuchet MS" w:hAnsi="Trebuchet MS"/>
          <w:b/>
          <w:bCs/>
          <w:sz w:val="20"/>
          <w:szCs w:val="20"/>
        </w:rPr>
        <w:t xml:space="preserve">ning et kaebaja on finantseerimisasutus </w:t>
      </w:r>
      <w:r w:rsidR="0096634B" w:rsidRPr="005F32DE">
        <w:rPr>
          <w:rFonts w:ascii="Trebuchet MS" w:hAnsi="Trebuchet MS"/>
          <w:b/>
          <w:bCs/>
          <w:sz w:val="20"/>
          <w:szCs w:val="20"/>
        </w:rPr>
        <w:t>tulenevalt RahaPTS § 6 lg-st 4.</w:t>
      </w:r>
    </w:p>
    <w:p w14:paraId="68285199" w14:textId="77777777" w:rsidR="0096634B" w:rsidRPr="005F32DE" w:rsidRDefault="0096634B" w:rsidP="0096634B">
      <w:pPr>
        <w:tabs>
          <w:tab w:val="num" w:pos="709"/>
        </w:tabs>
        <w:autoSpaceDE w:val="0"/>
        <w:autoSpaceDN w:val="0"/>
        <w:adjustRightInd w:val="0"/>
        <w:spacing w:line="276" w:lineRule="auto"/>
        <w:ind w:left="142"/>
        <w:rPr>
          <w:b/>
          <w:bCs/>
          <w:szCs w:val="20"/>
          <w:lang w:val="et-EE"/>
        </w:rPr>
      </w:pPr>
    </w:p>
    <w:p w14:paraId="6DCF3E16" w14:textId="77777777" w:rsidR="0096634B" w:rsidRPr="005F32DE" w:rsidRDefault="0096634B"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Cs/>
          <w:sz w:val="20"/>
          <w:szCs w:val="20"/>
        </w:rPr>
        <w:t>Kaebaja jääb kohtumenetluses esitatud seisukohtade juurde ja leiab, et virtuaal- ja krüptorahade (sh bitcoinide) ost-müük ei allu ühegi järelvalveorgani tegevusele Eesti Vabariigis, kuna antud valdkonda ei ole seadusega reguleeritud.</w:t>
      </w:r>
    </w:p>
    <w:p w14:paraId="428DB439" w14:textId="77777777" w:rsidR="0096634B" w:rsidRPr="005F32DE" w:rsidRDefault="0096634B" w:rsidP="0096634B">
      <w:pPr>
        <w:tabs>
          <w:tab w:val="num" w:pos="709"/>
        </w:tabs>
        <w:autoSpaceDE w:val="0"/>
        <w:autoSpaceDN w:val="0"/>
        <w:adjustRightInd w:val="0"/>
        <w:spacing w:line="276" w:lineRule="auto"/>
        <w:ind w:left="142"/>
        <w:rPr>
          <w:b/>
          <w:bCs/>
          <w:szCs w:val="20"/>
          <w:lang w:val="et-EE"/>
        </w:rPr>
      </w:pPr>
    </w:p>
    <w:p w14:paraId="5173290D" w14:textId="2A7DF801" w:rsidR="00430A62" w:rsidRPr="005F32DE" w:rsidRDefault="0096634B"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
          <w:bCs/>
          <w:sz w:val="20"/>
          <w:szCs w:val="20"/>
        </w:rPr>
      </w:pPr>
      <w:r w:rsidRPr="005F32DE">
        <w:rPr>
          <w:rFonts w:ascii="Trebuchet MS" w:hAnsi="Trebuchet MS"/>
          <w:bCs/>
          <w:sz w:val="20"/>
          <w:szCs w:val="20"/>
        </w:rPr>
        <w:t xml:space="preserve">Kõik krüptorahad (sh bitcoinid) põhinevad samal tehnoloogial - innovaatilisel andmevahetusprotokollil </w:t>
      </w:r>
      <w:r w:rsidRPr="005F32DE">
        <w:rPr>
          <w:rFonts w:ascii="Trebuchet MS" w:hAnsi="Trebuchet MS"/>
          <w:bCs/>
          <w:i/>
          <w:sz w:val="20"/>
          <w:szCs w:val="20"/>
        </w:rPr>
        <w:t>blockchain</w:t>
      </w:r>
      <w:r w:rsidRPr="005F32DE">
        <w:rPr>
          <w:rFonts w:ascii="Trebuchet MS" w:hAnsi="Trebuchet MS"/>
          <w:bCs/>
          <w:sz w:val="20"/>
          <w:szCs w:val="20"/>
        </w:rPr>
        <w:t>.</w:t>
      </w:r>
      <w:r w:rsidR="00430A62" w:rsidRPr="005F32DE">
        <w:rPr>
          <w:rFonts w:ascii="Trebuchet MS" w:hAnsi="Trebuchet MS"/>
          <w:bCs/>
          <w:sz w:val="20"/>
          <w:szCs w:val="20"/>
        </w:rPr>
        <w:t xml:space="preserve"> Ettekirjutuse tegemise ajal eksisteeris kokku ligikaudu 500 erinevat krüptoraha, milledest tuntuim oli ja on bitcoin.</w:t>
      </w:r>
      <w:r w:rsidR="00A17E93">
        <w:rPr>
          <w:rStyle w:val="FootnoteReference"/>
          <w:rFonts w:ascii="Trebuchet MS" w:hAnsi="Trebuchet MS"/>
          <w:bCs/>
          <w:sz w:val="20"/>
          <w:szCs w:val="20"/>
        </w:rPr>
        <w:footnoteReference w:id="14"/>
      </w:r>
      <w:r w:rsidR="00430A62" w:rsidRPr="005F32DE">
        <w:rPr>
          <w:rFonts w:ascii="Trebuchet MS" w:hAnsi="Trebuchet MS"/>
          <w:bCs/>
          <w:sz w:val="20"/>
          <w:szCs w:val="20"/>
        </w:rPr>
        <w:t xml:space="preserve"> </w:t>
      </w:r>
    </w:p>
    <w:p w14:paraId="179FC032" w14:textId="77777777" w:rsidR="00430A62" w:rsidRPr="005F32DE" w:rsidRDefault="00430A62" w:rsidP="0075224C">
      <w:pPr>
        <w:tabs>
          <w:tab w:val="num" w:pos="709"/>
        </w:tabs>
        <w:autoSpaceDE w:val="0"/>
        <w:autoSpaceDN w:val="0"/>
        <w:adjustRightInd w:val="0"/>
        <w:spacing w:line="276" w:lineRule="auto"/>
        <w:rPr>
          <w:bCs/>
          <w:szCs w:val="20"/>
          <w:lang w:val="et-EE"/>
        </w:rPr>
      </w:pPr>
    </w:p>
    <w:p w14:paraId="0C6A9DBB" w14:textId="77777777" w:rsidR="00430A62" w:rsidRPr="005F32DE" w:rsidRDefault="0096634B"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Kaebaja leiab, et krüptorahad (sh bitcoinid) ei vasta RahaPTS § 6 lg-st 4 tulenevatele alternatiivsete maksevah</w:t>
      </w:r>
      <w:r w:rsidR="00430A62" w:rsidRPr="005F32DE">
        <w:rPr>
          <w:rFonts w:ascii="Trebuchet MS" w:hAnsi="Trebuchet MS"/>
          <w:bCs/>
          <w:sz w:val="20"/>
          <w:szCs w:val="20"/>
        </w:rPr>
        <w:t>endite tunnuskriteeriumitele:</w:t>
      </w:r>
      <w:r w:rsidRPr="005F32DE">
        <w:rPr>
          <w:rFonts w:ascii="Trebuchet MS" w:hAnsi="Trebuchet MS"/>
          <w:bCs/>
          <w:sz w:val="20"/>
          <w:szCs w:val="20"/>
        </w:rPr>
        <w:t xml:space="preserve"> </w:t>
      </w:r>
    </w:p>
    <w:p w14:paraId="4D687F5C" w14:textId="6CB38EBA" w:rsidR="0096634B" w:rsidRPr="005F32DE" w:rsidRDefault="0096634B" w:rsidP="002F6E44">
      <w:pPr>
        <w:pStyle w:val="ListParagraph"/>
        <w:numPr>
          <w:ilvl w:val="3"/>
          <w:numId w:val="27"/>
        </w:numPr>
        <w:autoSpaceDE w:val="0"/>
        <w:autoSpaceDN w:val="0"/>
        <w:adjustRightInd w:val="0"/>
        <w:spacing w:line="276" w:lineRule="auto"/>
        <w:ind w:left="1418" w:hanging="709"/>
        <w:rPr>
          <w:rFonts w:ascii="Trebuchet MS" w:hAnsi="Trebuchet MS"/>
          <w:bCs/>
          <w:sz w:val="20"/>
          <w:szCs w:val="20"/>
        </w:rPr>
      </w:pPr>
      <w:r w:rsidRPr="005F32DE">
        <w:rPr>
          <w:rFonts w:ascii="Trebuchet MS" w:hAnsi="Trebuchet MS"/>
          <w:bCs/>
          <w:sz w:val="20"/>
          <w:szCs w:val="20"/>
        </w:rPr>
        <w:t xml:space="preserve">alternatiivsel maksevahendil </w:t>
      </w:r>
      <w:r w:rsidR="00430A62" w:rsidRPr="005F32DE">
        <w:rPr>
          <w:rFonts w:ascii="Trebuchet MS" w:hAnsi="Trebuchet MS"/>
          <w:bCs/>
          <w:sz w:val="20"/>
          <w:szCs w:val="20"/>
        </w:rPr>
        <w:t xml:space="preserve">peab </w:t>
      </w:r>
      <w:r w:rsidRPr="005F32DE">
        <w:rPr>
          <w:rFonts w:ascii="Trebuchet MS" w:hAnsi="Trebuchet MS"/>
          <w:bCs/>
          <w:sz w:val="20"/>
          <w:szCs w:val="20"/>
        </w:rPr>
        <w:t>olema vahetusväärtus ehk traditsioonilises rahas väljendatav hind igal ajahetkel. Virtuaal- ja krüptorahad (sh bitcoin</w:t>
      </w:r>
      <w:r w:rsidR="00430A62" w:rsidRPr="005F32DE">
        <w:rPr>
          <w:rFonts w:ascii="Trebuchet MS" w:hAnsi="Trebuchet MS"/>
          <w:bCs/>
          <w:sz w:val="20"/>
          <w:szCs w:val="20"/>
        </w:rPr>
        <w:t>id</w:t>
      </w:r>
      <w:r w:rsidRPr="005F32DE">
        <w:rPr>
          <w:rFonts w:ascii="Trebuchet MS" w:hAnsi="Trebuchet MS"/>
          <w:bCs/>
          <w:sz w:val="20"/>
          <w:szCs w:val="20"/>
        </w:rPr>
        <w:t>) omavad rahalist väärtus vaid siis, kui huvitatud isikud seda</w:t>
      </w:r>
      <w:r w:rsidR="00430A62" w:rsidRPr="005F32DE">
        <w:rPr>
          <w:rFonts w:ascii="Trebuchet MS" w:hAnsi="Trebuchet MS"/>
          <w:bCs/>
          <w:sz w:val="20"/>
          <w:szCs w:val="20"/>
        </w:rPr>
        <w:t xml:space="preserve"> kinnitavad</w:t>
      </w:r>
      <w:r w:rsidRPr="005F32DE">
        <w:rPr>
          <w:rFonts w:ascii="Trebuchet MS" w:hAnsi="Trebuchet MS"/>
          <w:bCs/>
          <w:sz w:val="20"/>
          <w:szCs w:val="20"/>
        </w:rPr>
        <w:t xml:space="preserve">. Juhul kui keegi ei aktsepteeri bitcoine või ükskõik mis teist krüptoraha, siis on vastav krüptoraha rahaliselt väärtusetu. </w:t>
      </w:r>
      <w:r w:rsidR="00430A62" w:rsidRPr="005F32DE">
        <w:rPr>
          <w:rFonts w:ascii="Trebuchet MS" w:hAnsi="Trebuchet MS"/>
          <w:bCs/>
          <w:sz w:val="20"/>
          <w:szCs w:val="20"/>
        </w:rPr>
        <w:t xml:space="preserve">Enamikel </w:t>
      </w:r>
      <w:r w:rsidRPr="005F32DE">
        <w:rPr>
          <w:rFonts w:ascii="Trebuchet MS" w:hAnsi="Trebuchet MS"/>
          <w:bCs/>
          <w:sz w:val="20"/>
          <w:szCs w:val="20"/>
        </w:rPr>
        <w:t xml:space="preserve">virtuaal- ja krüptorahadel puudubki vahetusväärtus, kuna virtuaal- ja krüptorahade kasutajaskond ei leia neil väärtust olevat. Virtuaal-ja krüptoraha rahalise väärtuse olemasolu on seega pidevalt muutlik ning need virtuaal- ja krüptorahad, mis isegi omavad rahalist väärtust, võivad selle ka kiiresti </w:t>
      </w:r>
      <w:r w:rsidR="00430A62" w:rsidRPr="005F32DE">
        <w:rPr>
          <w:rFonts w:ascii="Trebuchet MS" w:hAnsi="Trebuchet MS"/>
          <w:bCs/>
          <w:sz w:val="20"/>
          <w:szCs w:val="20"/>
        </w:rPr>
        <w:t>kaotada. Ilma võrgustiku mõjuta</w:t>
      </w:r>
      <w:r w:rsidRPr="005F32DE">
        <w:rPr>
          <w:rFonts w:ascii="Trebuchet MS" w:hAnsi="Trebuchet MS"/>
          <w:bCs/>
          <w:sz w:val="20"/>
          <w:szCs w:val="20"/>
        </w:rPr>
        <w:t xml:space="preserve"> ei ole virtuaal- ja krüptoraha midagi väärt ning tegemist on lihtsalt teoreetilise meelelahutusega, kuna igaüks saab kopeerida virtuaal- ja krüptorahade aluseks olevat a</w:t>
      </w:r>
      <w:r w:rsidR="00430A62" w:rsidRPr="005F32DE">
        <w:rPr>
          <w:rFonts w:ascii="Trebuchet MS" w:hAnsi="Trebuchet MS"/>
          <w:bCs/>
          <w:sz w:val="20"/>
          <w:szCs w:val="20"/>
        </w:rPr>
        <w:t>lgoritmi ja luua oma krüptoraha;</w:t>
      </w:r>
    </w:p>
    <w:p w14:paraId="17AAA420" w14:textId="5BE26C06" w:rsidR="00F464E7" w:rsidRPr="005F32DE" w:rsidRDefault="00430A62" w:rsidP="002F6E44">
      <w:pPr>
        <w:pStyle w:val="ListParagraph"/>
        <w:numPr>
          <w:ilvl w:val="3"/>
          <w:numId w:val="27"/>
        </w:numPr>
        <w:tabs>
          <w:tab w:val="clear" w:pos="720"/>
          <w:tab w:val="num" w:pos="1418"/>
        </w:tabs>
        <w:autoSpaceDE w:val="0"/>
        <w:autoSpaceDN w:val="0"/>
        <w:adjustRightInd w:val="0"/>
        <w:spacing w:line="276" w:lineRule="auto"/>
        <w:ind w:left="1418" w:hanging="709"/>
        <w:contextualSpacing w:val="0"/>
        <w:rPr>
          <w:rFonts w:ascii="Trebuchet MS" w:hAnsi="Trebuchet MS"/>
          <w:bCs/>
          <w:sz w:val="20"/>
          <w:szCs w:val="20"/>
        </w:rPr>
      </w:pPr>
      <w:r w:rsidRPr="005F32DE">
        <w:rPr>
          <w:rFonts w:ascii="Trebuchet MS" w:hAnsi="Trebuchet MS"/>
          <w:bCs/>
          <w:sz w:val="20"/>
          <w:szCs w:val="20"/>
        </w:rPr>
        <w:t>a</w:t>
      </w:r>
      <w:r w:rsidR="0096634B" w:rsidRPr="005F32DE">
        <w:rPr>
          <w:rFonts w:ascii="Trebuchet MS" w:hAnsi="Trebuchet MS"/>
          <w:bCs/>
          <w:sz w:val="20"/>
          <w:szCs w:val="20"/>
        </w:rPr>
        <w:t xml:space="preserve">lternatiivse maksevahendina liigitamiseks peab virtuaal- ja krüptoraha olema võimalik osta ja müüa traditsioonilise raha eest kasutajate keskkonnas ning sellega peab olema võimalik täita rahalisi kohustusi. Kuna </w:t>
      </w:r>
      <w:r w:rsidR="00F464E7" w:rsidRPr="005F32DE">
        <w:rPr>
          <w:rFonts w:ascii="Trebuchet MS" w:hAnsi="Trebuchet MS"/>
          <w:bCs/>
          <w:sz w:val="20"/>
          <w:szCs w:val="20"/>
        </w:rPr>
        <w:t xml:space="preserve">enamikel </w:t>
      </w:r>
      <w:r w:rsidR="0096634B" w:rsidRPr="005F32DE">
        <w:rPr>
          <w:rFonts w:ascii="Trebuchet MS" w:hAnsi="Trebuchet MS"/>
          <w:bCs/>
          <w:sz w:val="20"/>
          <w:szCs w:val="20"/>
        </w:rPr>
        <w:t xml:space="preserve">virtuaal- ja krüptorahadel puudub väärtus või kasutajaskond, siis ei ole neid võimalik vahetada kehtiva vääringu vastu ega täita nendega rahalisi kohustusi. Arvestades väärtuse ja kasutajate võrgustiku olemasolu kiiret muutlikust, on äärmiselt ebakindel ka </w:t>
      </w:r>
      <w:r w:rsidR="00F464E7" w:rsidRPr="005F32DE">
        <w:rPr>
          <w:rFonts w:ascii="Trebuchet MS" w:hAnsi="Trebuchet MS"/>
          <w:bCs/>
          <w:sz w:val="20"/>
          <w:szCs w:val="20"/>
        </w:rPr>
        <w:t xml:space="preserve">mingil </w:t>
      </w:r>
      <w:r w:rsidR="0096634B" w:rsidRPr="005F32DE">
        <w:rPr>
          <w:rFonts w:ascii="Trebuchet MS" w:hAnsi="Trebuchet MS"/>
          <w:bCs/>
          <w:sz w:val="20"/>
          <w:szCs w:val="20"/>
        </w:rPr>
        <w:t xml:space="preserve">ajahetkel väärtust omavate virtuaal- ja krüptorahade (sh bitcoinide) edaspidine vahetamise </w:t>
      </w:r>
      <w:r w:rsidR="00F464E7" w:rsidRPr="005F32DE">
        <w:rPr>
          <w:rFonts w:ascii="Trebuchet MS" w:hAnsi="Trebuchet MS"/>
          <w:bCs/>
          <w:sz w:val="20"/>
          <w:szCs w:val="20"/>
        </w:rPr>
        <w:t xml:space="preserve">võimalus kehtiva vääringu vastu. Riik ei taga oma sunnijõuga võimalust täita rahalisi kohustusi bitcoinides või vahetada bitcoine eurode vastu (vt Finantsinspektsiooni seisukohad kaebuse p-s 2.2.4). Proovides aru saada alternatiivse maksevahendi tähendusest, võiks järeldada, et olemuslikult on tegemist ametliku vääringu kui seadusliku maksevahendiga sarnase maksevahendiga – samas on Eesti Vabariik oma 12.09.2014 </w:t>
      </w:r>
      <w:r w:rsidR="00F464E7" w:rsidRPr="005F32DE">
        <w:rPr>
          <w:rFonts w:ascii="Trebuchet MS" w:hAnsi="Trebuchet MS"/>
          <w:bCs/>
          <w:sz w:val="20"/>
          <w:szCs w:val="20"/>
        </w:rPr>
        <w:lastRenderedPageBreak/>
        <w:t>kirjalikus seisukohas, mis on esitatud Euroopa Kohtule kohtuasjas C-264/14, märkinud, et bitcoin ei ole</w:t>
      </w:r>
      <w:r w:rsidR="00F464E7" w:rsidRPr="005F32DE">
        <w:rPr>
          <w:rFonts w:ascii="Trebuchet MS" w:hAnsi="Trebuchet MS"/>
          <w:bCs/>
          <w:i/>
          <w:sz w:val="20"/>
          <w:szCs w:val="20"/>
        </w:rPr>
        <w:t xml:space="preserve"> … oma olemuselt siiski ametlikule vääringule sarnane</w:t>
      </w:r>
      <w:r w:rsidR="00F464E7" w:rsidRPr="005F32DE">
        <w:rPr>
          <w:rFonts w:ascii="Trebuchet MS" w:hAnsi="Trebuchet MS"/>
          <w:bCs/>
          <w:sz w:val="20"/>
          <w:szCs w:val="20"/>
        </w:rPr>
        <w:t xml:space="preserve"> (p 23 esimene lause)</w:t>
      </w:r>
      <w:r w:rsidR="00F464E7" w:rsidRPr="005F32DE">
        <w:rPr>
          <w:rFonts w:ascii="Trebuchet MS" w:hAnsi="Trebuchet MS"/>
          <w:sz w:val="20"/>
          <w:szCs w:val="20"/>
          <w:vertAlign w:val="superscript"/>
        </w:rPr>
        <w:footnoteReference w:id="15"/>
      </w:r>
      <w:r w:rsidR="00F464E7" w:rsidRPr="005F32DE">
        <w:rPr>
          <w:rFonts w:ascii="Trebuchet MS" w:hAnsi="Trebuchet MS"/>
          <w:bCs/>
          <w:sz w:val="20"/>
          <w:szCs w:val="20"/>
        </w:rPr>
        <w:t>;</w:t>
      </w:r>
    </w:p>
    <w:p w14:paraId="0867131B" w14:textId="77777777" w:rsidR="00F464E7" w:rsidRPr="005F32DE" w:rsidRDefault="00F464E7" w:rsidP="002F6E44">
      <w:pPr>
        <w:pStyle w:val="ListParagraph"/>
        <w:numPr>
          <w:ilvl w:val="3"/>
          <w:numId w:val="27"/>
        </w:numPr>
        <w:tabs>
          <w:tab w:val="clear" w:pos="720"/>
          <w:tab w:val="num" w:pos="1418"/>
        </w:tabs>
        <w:autoSpaceDE w:val="0"/>
        <w:autoSpaceDN w:val="0"/>
        <w:adjustRightInd w:val="0"/>
        <w:spacing w:line="276" w:lineRule="auto"/>
        <w:ind w:left="1418" w:hanging="709"/>
        <w:contextualSpacing w:val="0"/>
        <w:rPr>
          <w:rFonts w:ascii="Trebuchet MS" w:hAnsi="Trebuchet MS"/>
          <w:bCs/>
          <w:sz w:val="20"/>
          <w:szCs w:val="20"/>
        </w:rPr>
      </w:pPr>
      <w:r w:rsidRPr="005F32DE">
        <w:rPr>
          <w:rFonts w:ascii="Trebuchet MS" w:hAnsi="Trebuchet MS"/>
          <w:bCs/>
          <w:sz w:val="20"/>
          <w:szCs w:val="20"/>
        </w:rPr>
        <w:t xml:space="preserve">bitcoin ei ole üldiselt ja kohustuslikult aktsepteeritav võla tasumise vahend või valuuta (vt Finantsinspektsiooni seisukohad kaebuse p-s 2.2.4). Ka Eesti Vabariik on 12.09.2014 kirjalikus seisukohas märkinud, et … </w:t>
      </w:r>
      <w:r w:rsidRPr="005F32DE">
        <w:rPr>
          <w:rFonts w:ascii="Trebuchet MS" w:hAnsi="Trebuchet MS"/>
          <w:bCs/>
          <w:i/>
          <w:sz w:val="20"/>
          <w:szCs w:val="20"/>
        </w:rPr>
        <w:t>mitte keegi ei ole kohustatud bitcoin’e rahaks vahetama – neid on võimalik võõrandada vaid siis, kui keegi neid omandada soovib</w:t>
      </w:r>
      <w:r w:rsidRPr="005F32DE">
        <w:rPr>
          <w:rFonts w:ascii="Trebuchet MS" w:hAnsi="Trebuchet MS"/>
          <w:bCs/>
          <w:sz w:val="20"/>
          <w:szCs w:val="20"/>
        </w:rPr>
        <w:t xml:space="preserve"> (p 19 viimane lause);</w:t>
      </w:r>
    </w:p>
    <w:p w14:paraId="75549E1D" w14:textId="77777777" w:rsidR="00F464E7" w:rsidRPr="005F32DE" w:rsidRDefault="00F464E7" w:rsidP="002F6E44">
      <w:pPr>
        <w:pStyle w:val="ListParagraph"/>
        <w:numPr>
          <w:ilvl w:val="3"/>
          <w:numId w:val="27"/>
        </w:numPr>
        <w:tabs>
          <w:tab w:val="clear" w:pos="720"/>
          <w:tab w:val="num" w:pos="1418"/>
        </w:tabs>
        <w:autoSpaceDE w:val="0"/>
        <w:autoSpaceDN w:val="0"/>
        <w:adjustRightInd w:val="0"/>
        <w:spacing w:line="276" w:lineRule="auto"/>
        <w:ind w:left="1418" w:hanging="709"/>
        <w:contextualSpacing w:val="0"/>
        <w:rPr>
          <w:rFonts w:ascii="Trebuchet MS" w:hAnsi="Trebuchet MS"/>
          <w:bCs/>
          <w:sz w:val="20"/>
          <w:szCs w:val="20"/>
        </w:rPr>
      </w:pPr>
      <w:r w:rsidRPr="005F32DE">
        <w:rPr>
          <w:rFonts w:ascii="Trebuchet MS" w:hAnsi="Trebuchet MS"/>
          <w:bCs/>
          <w:sz w:val="20"/>
          <w:szCs w:val="20"/>
        </w:rPr>
        <w:t>bitcoinid on detsentraliseeritud erainitsiatiiv, mida aktsepteerib üksnes teatud suhteliselt väike kogukond (vt kaebuse p 2.1.5, kaebaja 10.06.2014 arvamuse p 2.2.1);</w:t>
      </w:r>
    </w:p>
    <w:p w14:paraId="61FD42CC" w14:textId="2E6A562F" w:rsidR="00430A62" w:rsidRPr="006D254C" w:rsidRDefault="00F464E7" w:rsidP="006D254C">
      <w:pPr>
        <w:pStyle w:val="ListParagraph"/>
        <w:numPr>
          <w:ilvl w:val="3"/>
          <w:numId w:val="27"/>
        </w:numPr>
        <w:tabs>
          <w:tab w:val="clear" w:pos="720"/>
        </w:tabs>
        <w:autoSpaceDE w:val="0"/>
        <w:autoSpaceDN w:val="0"/>
        <w:adjustRightInd w:val="0"/>
        <w:spacing w:line="276" w:lineRule="auto"/>
        <w:ind w:left="1418" w:hanging="709"/>
        <w:contextualSpacing w:val="0"/>
        <w:rPr>
          <w:rFonts w:ascii="Trebuchet MS" w:hAnsi="Trebuchet MS"/>
          <w:bCs/>
          <w:sz w:val="20"/>
          <w:szCs w:val="20"/>
        </w:rPr>
      </w:pPr>
      <w:r w:rsidRPr="005F32DE">
        <w:rPr>
          <w:rFonts w:ascii="Trebuchet MS" w:hAnsi="Trebuchet MS"/>
          <w:bCs/>
          <w:sz w:val="20"/>
          <w:szCs w:val="20"/>
        </w:rPr>
        <w:t>bitcoinide müüja (nt kaebaja) tegevuse puhul ei toimu (teenuse vormis) mingi rahalise väärtuse ülekandmist ühelt isikult teisele (vt kaebaja 10.06.2014 arvamuse p 2.4). Kui proovida kvalifitseerida seda tegevust kehtiva õiguse alusel, siis teoreetiliselt võib väita, et bitcoinide ost-müük on müügitehing, kus ostja ostab maksevahendi (nt eurod) eest eseme (õiguse või muu hüve) tsiviilseadustiku üldosa seaduse § 48</w:t>
      </w:r>
      <w:r w:rsidR="006D254C">
        <w:rPr>
          <w:rFonts w:ascii="Trebuchet MS" w:hAnsi="Trebuchet MS"/>
          <w:bCs/>
          <w:sz w:val="20"/>
          <w:szCs w:val="20"/>
        </w:rPr>
        <w:t xml:space="preserve"> tähenduses</w:t>
      </w:r>
      <w:r w:rsidRPr="006D254C">
        <w:rPr>
          <w:rFonts w:ascii="Trebuchet MS" w:hAnsi="Trebuchet MS"/>
          <w:bCs/>
          <w:sz w:val="20"/>
          <w:szCs w:val="20"/>
        </w:rPr>
        <w:t xml:space="preserve">. </w:t>
      </w:r>
    </w:p>
    <w:p w14:paraId="0BB5CE4D" w14:textId="77777777" w:rsidR="00430A62" w:rsidRPr="005F32DE" w:rsidRDefault="00430A62" w:rsidP="00430A62">
      <w:pPr>
        <w:tabs>
          <w:tab w:val="num" w:pos="1418"/>
        </w:tabs>
        <w:autoSpaceDE w:val="0"/>
        <w:autoSpaceDN w:val="0"/>
        <w:adjustRightInd w:val="0"/>
        <w:spacing w:line="276" w:lineRule="auto"/>
        <w:ind w:left="142"/>
        <w:rPr>
          <w:bCs/>
          <w:szCs w:val="20"/>
          <w:lang w:val="et-EE"/>
        </w:rPr>
      </w:pPr>
    </w:p>
    <w:p w14:paraId="38D57FA9" w14:textId="759A802F" w:rsidR="00430A62" w:rsidRPr="005F32DE" w:rsidRDefault="00D65A4E" w:rsidP="002F6E44">
      <w:pPr>
        <w:pStyle w:val="ListParagraph"/>
        <w:numPr>
          <w:ilvl w:val="2"/>
          <w:numId w:val="27"/>
        </w:numPr>
        <w:tabs>
          <w:tab w:val="num" w:pos="1418"/>
        </w:tabs>
        <w:autoSpaceDE w:val="0"/>
        <w:autoSpaceDN w:val="0"/>
        <w:adjustRightInd w:val="0"/>
        <w:spacing w:line="276" w:lineRule="auto"/>
        <w:rPr>
          <w:rFonts w:ascii="Trebuchet MS" w:hAnsi="Trebuchet MS"/>
          <w:bCs/>
          <w:sz w:val="20"/>
          <w:szCs w:val="20"/>
        </w:rPr>
      </w:pPr>
      <w:r w:rsidRPr="005F32DE">
        <w:rPr>
          <w:rFonts w:ascii="Trebuchet MS" w:hAnsi="Trebuchet MS"/>
          <w:bCs/>
          <w:sz w:val="20"/>
          <w:szCs w:val="20"/>
        </w:rPr>
        <w:t>B</w:t>
      </w:r>
      <w:r w:rsidR="00430A62" w:rsidRPr="005F32DE">
        <w:rPr>
          <w:rFonts w:ascii="Trebuchet MS" w:hAnsi="Trebuchet MS"/>
          <w:bCs/>
          <w:sz w:val="20"/>
          <w:szCs w:val="20"/>
        </w:rPr>
        <w:t>itcoinide ostu ja müüki saaks käsitleda majandus- või kutsetegevusena üksnes juhul kui seda tehakse iseseisvalt, püsivalt ja tulu saamise eesmärgil (vrd majandustegevuse seadustiku üldosa seaduse § 3 lg 1). Praeguses asjas ei nähtu kaebaja tegevuses püsivat iseloomu. Kaebaja haldas küll veebilehte (</w:t>
      </w:r>
      <w:hyperlink r:id="rId14" w:history="1">
        <w:r w:rsidRPr="005F32DE">
          <w:rPr>
            <w:rStyle w:val="Hyperlink"/>
            <w:rFonts w:ascii="Trebuchet MS" w:hAnsi="Trebuchet MS"/>
            <w:bCs/>
            <w:sz w:val="20"/>
            <w:szCs w:val="20"/>
          </w:rPr>
          <w:t>www.btc.ee</w:t>
        </w:r>
      </w:hyperlink>
      <w:r w:rsidRPr="005F32DE">
        <w:rPr>
          <w:rFonts w:ascii="Trebuchet MS" w:hAnsi="Trebuchet MS"/>
          <w:bCs/>
          <w:sz w:val="20"/>
          <w:szCs w:val="20"/>
        </w:rPr>
        <w:t>)</w:t>
      </w:r>
      <w:r w:rsidR="00430A62" w:rsidRPr="005F32DE">
        <w:rPr>
          <w:rFonts w:ascii="Trebuchet MS" w:hAnsi="Trebuchet MS"/>
          <w:bCs/>
          <w:sz w:val="20"/>
          <w:szCs w:val="20"/>
        </w:rPr>
        <w:t xml:space="preserve"> ja sealt sai infot kaebaja soovist osta või müüa bitcoine hobi korras, kuid see müük ei olnud püsiv ja äriline (st tulu saamise eesmärgil).</w:t>
      </w:r>
    </w:p>
    <w:p w14:paraId="70D0D210" w14:textId="77777777" w:rsidR="00430A62" w:rsidRPr="005F32DE" w:rsidRDefault="00430A62" w:rsidP="0096634B">
      <w:pPr>
        <w:spacing w:line="276" w:lineRule="auto"/>
        <w:rPr>
          <w:bCs/>
          <w:szCs w:val="20"/>
          <w:lang w:val="et-EE"/>
        </w:rPr>
      </w:pPr>
    </w:p>
    <w:p w14:paraId="55DB8BAD" w14:textId="628A5AE4" w:rsidR="00806734" w:rsidRPr="005F32DE" w:rsidRDefault="00806734" w:rsidP="0075224C">
      <w:pPr>
        <w:pStyle w:val="ListParagraph"/>
        <w:numPr>
          <w:ilvl w:val="1"/>
          <w:numId w:val="27"/>
        </w:numPr>
        <w:tabs>
          <w:tab w:val="clear" w:pos="390"/>
          <w:tab w:val="num" w:pos="709"/>
        </w:tabs>
        <w:spacing w:line="276" w:lineRule="auto"/>
        <w:ind w:left="709" w:hanging="709"/>
        <w:contextualSpacing w:val="0"/>
        <w:rPr>
          <w:rFonts w:ascii="Trebuchet MS" w:hAnsi="Trebuchet MS"/>
          <w:bCs/>
          <w:sz w:val="20"/>
          <w:szCs w:val="20"/>
        </w:rPr>
      </w:pPr>
      <w:r w:rsidRPr="005F32DE">
        <w:rPr>
          <w:rFonts w:ascii="Trebuchet MS" w:hAnsi="Trebuchet MS"/>
          <w:b/>
          <w:bCs/>
          <w:sz w:val="20"/>
          <w:szCs w:val="20"/>
        </w:rPr>
        <w:t xml:space="preserve">RahaPTS ruumiline kehtivus ei laiene veebilehe </w:t>
      </w:r>
      <w:hyperlink r:id="rId15" w:history="1">
        <w:r w:rsidRPr="005F32DE">
          <w:rPr>
            <w:rStyle w:val="Hyperlink"/>
            <w:rFonts w:ascii="Trebuchet MS" w:hAnsi="Trebuchet MS"/>
            <w:b/>
            <w:bCs/>
            <w:sz w:val="20"/>
            <w:szCs w:val="20"/>
          </w:rPr>
          <w:t>www.btc.ee</w:t>
        </w:r>
      </w:hyperlink>
      <w:r w:rsidRPr="005F32DE">
        <w:rPr>
          <w:rFonts w:ascii="Trebuchet MS" w:hAnsi="Trebuchet MS"/>
          <w:b/>
          <w:bCs/>
          <w:sz w:val="20"/>
          <w:szCs w:val="20"/>
        </w:rPr>
        <w:t xml:space="preserve"> kaudu toimunud tegevusele.</w:t>
      </w:r>
    </w:p>
    <w:p w14:paraId="254574D3" w14:textId="77777777" w:rsidR="004C2C41" w:rsidRPr="005F32DE" w:rsidRDefault="004C2C41" w:rsidP="004C2C41">
      <w:pPr>
        <w:tabs>
          <w:tab w:val="num" w:pos="709"/>
        </w:tabs>
        <w:autoSpaceDE w:val="0"/>
        <w:autoSpaceDN w:val="0"/>
        <w:adjustRightInd w:val="0"/>
        <w:spacing w:line="276" w:lineRule="auto"/>
        <w:ind w:left="142"/>
        <w:rPr>
          <w:bCs/>
          <w:szCs w:val="20"/>
          <w:lang w:val="et-EE"/>
        </w:rPr>
      </w:pPr>
    </w:p>
    <w:p w14:paraId="058EC91E" w14:textId="77777777" w:rsidR="00CF4472" w:rsidRPr="005F32DE" w:rsidRDefault="00806734"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Ettekirjutusest ja kohtumenetluses RAB antud seletustest võib aru saada selliselt, et RAB peab kaebaja kauplemiskohaks veebilehte aadressiga </w:t>
      </w:r>
      <w:hyperlink r:id="rId16" w:history="1">
        <w:r w:rsidRPr="005F32DE">
          <w:rPr>
            <w:rStyle w:val="Hyperlink"/>
            <w:rFonts w:ascii="Trebuchet MS" w:hAnsi="Trebuchet MS"/>
            <w:bCs/>
            <w:sz w:val="20"/>
            <w:szCs w:val="20"/>
          </w:rPr>
          <w:t>www.btc.ee</w:t>
        </w:r>
      </w:hyperlink>
      <w:r w:rsidRPr="005F32DE">
        <w:rPr>
          <w:rFonts w:ascii="Trebuchet MS" w:hAnsi="Trebuchet MS"/>
          <w:bCs/>
          <w:sz w:val="20"/>
          <w:szCs w:val="20"/>
        </w:rPr>
        <w:t xml:space="preserve">. Kaebaja leidis kaebuses (vt kaebuse p 2.3) ja leiab jätkuvalt, et RAB-l puudub võimalus teostada järelevalvet selle veebilehe suhtes, kuna see asub väljaspool Eesti jurisdiktsiooni (isegi kui eeldada, et kaebaja on RahaPTS kohustatud subjekt). </w:t>
      </w:r>
    </w:p>
    <w:p w14:paraId="3989CF1A" w14:textId="77777777" w:rsidR="00CF4472" w:rsidRPr="005F32DE" w:rsidRDefault="00CF4472" w:rsidP="00CF4472">
      <w:pPr>
        <w:tabs>
          <w:tab w:val="num" w:pos="709"/>
        </w:tabs>
        <w:autoSpaceDE w:val="0"/>
        <w:autoSpaceDN w:val="0"/>
        <w:adjustRightInd w:val="0"/>
        <w:spacing w:line="276" w:lineRule="auto"/>
        <w:ind w:left="142"/>
        <w:rPr>
          <w:bCs/>
          <w:szCs w:val="20"/>
          <w:lang w:val="et-EE"/>
        </w:rPr>
      </w:pPr>
    </w:p>
    <w:p w14:paraId="059D41F3" w14:textId="29E34E45" w:rsidR="00CF4472" w:rsidRPr="005F32DE" w:rsidRDefault="00CF4472"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Kuigi veebileht </w:t>
      </w:r>
      <w:hyperlink r:id="rId17" w:history="1">
        <w:r w:rsidRPr="005F32DE">
          <w:rPr>
            <w:rStyle w:val="Hyperlink"/>
            <w:rFonts w:ascii="Trebuchet MS" w:hAnsi="Trebuchet MS"/>
            <w:bCs/>
            <w:sz w:val="20"/>
            <w:szCs w:val="20"/>
          </w:rPr>
          <w:t>www.btc.ee</w:t>
        </w:r>
      </w:hyperlink>
      <w:r w:rsidRPr="005F32DE">
        <w:rPr>
          <w:rFonts w:ascii="Trebuchet MS" w:hAnsi="Trebuchet MS"/>
          <w:bCs/>
          <w:sz w:val="20"/>
          <w:szCs w:val="20"/>
        </w:rPr>
        <w:t xml:space="preserve"> oli ja on Eestist juurdepääsetav, siis serveri asukoha tõttu puudub RAB-l pädevus kohaldada sellele RahaPTS regulatsiooni. Kui asuda seisukohale, et kuna veebileht on Eestis juurdepääsetav, siis toimub kõik Internetis toimuv Eesti territooriumil, siis tähendaks see, et iga Internetis toimuv tegevus peaks olema kooskõlas Eesti Vabariigi õigusaktidega – selline seisukoht on ebamõistlik ning praktikas ka teostamatu. Kaebaja peab oma seisukoha põhistamiseks vajalikuks viidata analoogia korras rahvusvahelisele maksuõigusele, mis on võrreldes teiste õigusharudega kõige põhjalikumalt seda teemat analüüsinud - OECD 1992. a tulu ja kapitali maksustamise mudelkonventsiooni kommentaarid teevad selge eristuse füüsilise arvutivarustuse (näiteks server) ning immateriaalse tarkvara ja andmete (näiteks veebileht) vahel, rõhutades, et viimane neist ei saa kunagi olla „majandustegevuse kohaks“, kuna see ei vasta „valduste, vahendite või</w:t>
      </w:r>
      <w:r w:rsidR="00107875" w:rsidRPr="005F32DE">
        <w:rPr>
          <w:rFonts w:ascii="Trebuchet MS" w:hAnsi="Trebuchet MS"/>
          <w:bCs/>
          <w:sz w:val="20"/>
          <w:szCs w:val="20"/>
        </w:rPr>
        <w:t xml:space="preserve"> installatsioonide“ olemusele. </w:t>
      </w:r>
      <w:r w:rsidRPr="005F32DE">
        <w:rPr>
          <w:rFonts w:ascii="Trebuchet MS" w:hAnsi="Trebuchet MS"/>
          <w:bCs/>
          <w:sz w:val="20"/>
          <w:szCs w:val="20"/>
        </w:rPr>
        <w:t xml:space="preserve">Teisest küljest, kuigi server kui selline ei saa olla püsivaks tegevuskohaks, siis server koos kohaga, kus seda hoitakse, võib olla püsiva tegevuskoha aluseks. </w:t>
      </w:r>
    </w:p>
    <w:p w14:paraId="4509A3B4" w14:textId="77777777" w:rsidR="00CF4472" w:rsidRPr="005F32DE" w:rsidRDefault="00CF4472" w:rsidP="00CF4472">
      <w:pPr>
        <w:tabs>
          <w:tab w:val="num" w:pos="709"/>
        </w:tabs>
        <w:autoSpaceDE w:val="0"/>
        <w:autoSpaceDN w:val="0"/>
        <w:adjustRightInd w:val="0"/>
        <w:spacing w:line="276" w:lineRule="auto"/>
        <w:ind w:left="142"/>
        <w:rPr>
          <w:bCs/>
          <w:szCs w:val="20"/>
          <w:lang w:val="et-EE"/>
        </w:rPr>
      </w:pPr>
    </w:p>
    <w:p w14:paraId="7FEBCD1C" w14:textId="77777777" w:rsidR="00CF4472" w:rsidRPr="005F32DE" w:rsidRDefault="00CF4472"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Puudub vaidlus, et veebileht oli kuni ettekirjutuse tegemiseni kättesaadav lisaks ingliskeelsele ka eesti keelses versioonis. Samas veebilehe keelt ei saa määravaks kriteeriumiks seada, sest see ei tähenda iseenesest veel majandustegevust ning seda eriti IT-valdkonnas, kus üldtunnustatult on valitsevaks keeleks inglise keel. Kaebaja on selgitanud, et eestikeelse veebilehe koostas ta pelgalt oma huvist eesti keele õppimise vastu ning sellel puudus igasugune äriline eesmärk. </w:t>
      </w:r>
    </w:p>
    <w:p w14:paraId="78B34311" w14:textId="77777777" w:rsidR="00CF4472" w:rsidRPr="005F32DE" w:rsidRDefault="00CF4472" w:rsidP="00CF4472">
      <w:pPr>
        <w:pStyle w:val="ListParagraph"/>
        <w:rPr>
          <w:rFonts w:ascii="Trebuchet MS" w:hAnsi="Trebuchet MS"/>
          <w:bCs/>
          <w:sz w:val="20"/>
          <w:szCs w:val="20"/>
        </w:rPr>
      </w:pPr>
    </w:p>
    <w:p w14:paraId="1256DB78" w14:textId="77848F40" w:rsidR="00CF4472" w:rsidRPr="005F32DE" w:rsidRDefault="00CF4472"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Kaebaja veebilehe ülaosas on ingliskeelne loosung „Your source of Bitcoins in Tallinn, Estonia“, mida ei saa selle loosungi abstraktsuse ja veebilehel oleva sõnaselge teate, et tegemist on kaebaja hobiprojektiga, tõttu lugeda viiteks veebilehele kui majandustegevuse kohale või reklaamiks, mis on avalikustatud mingisuguse teenuse osutamise või kauba müügi suurendamise, ürituse edendamise või isikute käitumise suunamise eesmärgil. Rõhutame, et veebileht aadressil </w:t>
      </w:r>
      <w:hyperlink r:id="rId18" w:history="1">
        <w:r w:rsidRPr="005F32DE">
          <w:rPr>
            <w:rStyle w:val="Hyperlink"/>
            <w:rFonts w:ascii="Trebuchet MS" w:hAnsi="Trebuchet MS"/>
            <w:bCs/>
            <w:sz w:val="20"/>
            <w:szCs w:val="20"/>
          </w:rPr>
          <w:t>www.btc.ee</w:t>
        </w:r>
      </w:hyperlink>
      <w:r w:rsidRPr="005F32DE">
        <w:rPr>
          <w:rFonts w:ascii="Trebuchet MS" w:hAnsi="Trebuchet MS"/>
          <w:bCs/>
          <w:sz w:val="20"/>
          <w:szCs w:val="20"/>
        </w:rPr>
        <w:t xml:space="preserve"> ei ole </w:t>
      </w:r>
      <w:r w:rsidR="006D254C">
        <w:rPr>
          <w:rFonts w:ascii="Trebuchet MS" w:hAnsi="Trebuchet MS"/>
          <w:bCs/>
          <w:sz w:val="20"/>
          <w:szCs w:val="20"/>
        </w:rPr>
        <w:lastRenderedPageBreak/>
        <w:t>vahendus</w:t>
      </w:r>
      <w:r w:rsidRPr="005F32DE">
        <w:rPr>
          <w:rFonts w:ascii="Trebuchet MS" w:hAnsi="Trebuchet MS"/>
          <w:bCs/>
          <w:sz w:val="20"/>
          <w:szCs w:val="20"/>
        </w:rPr>
        <w:t xml:space="preserve">platvorm (inglise k. </w:t>
      </w:r>
      <w:r w:rsidRPr="005F32DE">
        <w:rPr>
          <w:rFonts w:ascii="Trebuchet MS" w:hAnsi="Trebuchet MS"/>
          <w:bCs/>
          <w:i/>
          <w:sz w:val="20"/>
          <w:szCs w:val="20"/>
        </w:rPr>
        <w:t>Exchange</w:t>
      </w:r>
      <w:r w:rsidRPr="005F32DE">
        <w:rPr>
          <w:rFonts w:ascii="Trebuchet MS" w:hAnsi="Trebuchet MS"/>
          <w:bCs/>
          <w:sz w:val="20"/>
          <w:szCs w:val="20"/>
        </w:rPr>
        <w:t xml:space="preserve">), mille vahendusel toimus bitcoinide tehingute vahendamine (vt nt </w:t>
      </w:r>
      <w:hyperlink r:id="rId19" w:history="1">
        <w:r w:rsidRPr="005F32DE">
          <w:rPr>
            <w:rStyle w:val="Hyperlink"/>
            <w:rFonts w:ascii="Trebuchet MS" w:hAnsi="Trebuchet MS"/>
            <w:bCs/>
            <w:sz w:val="20"/>
            <w:szCs w:val="20"/>
          </w:rPr>
          <w:t>www.bitcoin.de/en</w:t>
        </w:r>
      </w:hyperlink>
      <w:r w:rsidRPr="005F32DE">
        <w:rPr>
          <w:rFonts w:ascii="Trebuchet MS" w:hAnsi="Trebuchet MS"/>
          <w:bCs/>
          <w:sz w:val="20"/>
          <w:szCs w:val="20"/>
        </w:rPr>
        <w:t xml:space="preserve">, </w:t>
      </w:r>
      <w:hyperlink r:id="rId20" w:history="1">
        <w:r w:rsidRPr="005F32DE">
          <w:rPr>
            <w:rStyle w:val="Hyperlink"/>
            <w:rFonts w:ascii="Trebuchet MS" w:hAnsi="Trebuchet MS"/>
            <w:bCs/>
            <w:sz w:val="20"/>
            <w:szCs w:val="20"/>
          </w:rPr>
          <w:t>www.kraken.com</w:t>
        </w:r>
      </w:hyperlink>
      <w:r w:rsidRPr="005F32DE">
        <w:rPr>
          <w:rFonts w:ascii="Trebuchet MS" w:hAnsi="Trebuchet MS"/>
          <w:bCs/>
          <w:sz w:val="20"/>
          <w:szCs w:val="20"/>
        </w:rPr>
        <w:t xml:space="preserve">, </w:t>
      </w:r>
      <w:hyperlink r:id="rId21" w:history="1">
        <w:r w:rsidRPr="005F32DE">
          <w:rPr>
            <w:rStyle w:val="Hyperlink"/>
            <w:rFonts w:ascii="Trebuchet MS" w:hAnsi="Trebuchet MS"/>
            <w:bCs/>
            <w:sz w:val="20"/>
            <w:szCs w:val="20"/>
          </w:rPr>
          <w:t>www.bitstamp.net</w:t>
        </w:r>
      </w:hyperlink>
      <w:r w:rsidRPr="005F32DE">
        <w:rPr>
          <w:rFonts w:ascii="Trebuchet MS" w:hAnsi="Trebuchet MS"/>
          <w:bCs/>
          <w:sz w:val="20"/>
          <w:szCs w:val="20"/>
        </w:rPr>
        <w:t xml:space="preserve">). </w:t>
      </w:r>
    </w:p>
    <w:p w14:paraId="71D5DEC1" w14:textId="77777777" w:rsidR="00CF4472" w:rsidRPr="005F32DE" w:rsidRDefault="00CF4472" w:rsidP="00CF4472">
      <w:pPr>
        <w:pStyle w:val="ListParagraph"/>
        <w:rPr>
          <w:rFonts w:ascii="Trebuchet MS" w:hAnsi="Trebuchet MS"/>
          <w:bCs/>
          <w:sz w:val="20"/>
          <w:szCs w:val="20"/>
        </w:rPr>
      </w:pPr>
    </w:p>
    <w:p w14:paraId="12ADED7C" w14:textId="40A7574E" w:rsidR="00CF4472" w:rsidRPr="005F32DE" w:rsidRDefault="00CF4472" w:rsidP="002F6E44">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 xml:space="preserve">Kaebaja on põhistanud oma väidet Riigiprokuratuuri 19.07.2006 seisukohaga karistusseadustiku ruumilisest kehtivusest Internetis korraldatavate hasartmängudele (vt kaebuse lisa 3). Nimelt asus Riigiprokuratuur seisukohale, et Eestist ligipääsetavale eesti keelde tõlgitud välismaise hasartmängukorraldaja välismaises serveris majutatud veebilehele ei laiene Eestis kehtivad õigusaktid, sh karistusseadustik. Selgituseks olgu öeldud, et selle seisukoha andmise ajal puudus kehtivas õiguses kaughasartmängude regulatsioon, mistõttu on tegemist praeguse asjaga analoogse olukorraga. </w:t>
      </w:r>
    </w:p>
    <w:p w14:paraId="7E999027" w14:textId="77777777" w:rsidR="00CF4472" w:rsidRPr="005F32DE" w:rsidRDefault="00CF4472" w:rsidP="00CF4472">
      <w:pPr>
        <w:pStyle w:val="ListParagraph"/>
        <w:rPr>
          <w:rFonts w:ascii="Trebuchet MS" w:hAnsi="Trebuchet MS"/>
          <w:bCs/>
          <w:sz w:val="20"/>
          <w:szCs w:val="20"/>
        </w:rPr>
      </w:pPr>
    </w:p>
    <w:p w14:paraId="54A0910D" w14:textId="4334819C" w:rsidR="00CF4472" w:rsidRPr="005F32DE" w:rsidRDefault="00CF4472" w:rsidP="00FA6E50">
      <w:pPr>
        <w:pStyle w:val="ListParagraph"/>
        <w:numPr>
          <w:ilvl w:val="2"/>
          <w:numId w:val="27"/>
        </w:numPr>
        <w:autoSpaceDE w:val="0"/>
        <w:autoSpaceDN w:val="0"/>
        <w:adjustRightInd w:val="0"/>
        <w:spacing w:line="276" w:lineRule="auto"/>
        <w:ind w:left="709" w:hanging="709"/>
        <w:contextualSpacing w:val="0"/>
        <w:rPr>
          <w:rFonts w:ascii="Trebuchet MS" w:hAnsi="Trebuchet MS"/>
          <w:bCs/>
          <w:sz w:val="20"/>
          <w:szCs w:val="20"/>
        </w:rPr>
      </w:pPr>
      <w:r w:rsidRPr="005F32DE">
        <w:rPr>
          <w:rFonts w:ascii="Trebuchet MS" w:hAnsi="Trebuchet MS"/>
          <w:bCs/>
          <w:sz w:val="20"/>
          <w:szCs w:val="20"/>
        </w:rPr>
        <w:t>Lõpetuseks tuleb arvesse võtta Bitcoini protokolli kui vabavaralise tarkvara, milles toimuvad bitcoinide ostu- ja müügitehingud, asukoha määratlemise ja sellest tulenevalt riigi jurisdiktsiooni kohaldamise probleemi. Bitcoini protokolli eripärast tulenevalt ei töödeldud kaebaja tehinguid, mille kohta RAB soovib ettekirjutusega saada teavet, Eestis asuvates arvutites. Kaebaja leiab, et olukorras, kus Eesti ei ole oma seadustes seda küsimust reguleerinud, puudub alus Eestis kehtiva õiguse (eriti veel haldusväliseid isikuid koormava avaliku õiguse) kohaldamiseks nendele tehingutele</w:t>
      </w:r>
      <w:r w:rsidR="00D65A4E" w:rsidRPr="005F32DE">
        <w:rPr>
          <w:rFonts w:ascii="Trebuchet MS" w:hAnsi="Trebuchet MS"/>
          <w:bCs/>
          <w:sz w:val="20"/>
          <w:szCs w:val="20"/>
        </w:rPr>
        <w:t>.</w:t>
      </w:r>
    </w:p>
    <w:p w14:paraId="724512E6" w14:textId="77777777" w:rsidR="004C2C41" w:rsidRPr="00FA6E50" w:rsidRDefault="004C2C41" w:rsidP="00FA6E50">
      <w:pPr>
        <w:tabs>
          <w:tab w:val="left" w:pos="-4395"/>
          <w:tab w:val="left" w:pos="-3119"/>
          <w:tab w:val="left" w:pos="-2410"/>
          <w:tab w:val="num" w:pos="709"/>
        </w:tabs>
        <w:spacing w:line="276" w:lineRule="auto"/>
        <w:rPr>
          <w:b/>
          <w:bCs/>
          <w:szCs w:val="20"/>
          <w:lang w:val="et-EE"/>
        </w:rPr>
      </w:pPr>
    </w:p>
    <w:p w14:paraId="033AE985" w14:textId="5E9ABC29" w:rsidR="00FA6E50" w:rsidRPr="00FA6E50" w:rsidRDefault="00FA6E50" w:rsidP="00FA6E50">
      <w:pPr>
        <w:pStyle w:val="ListParagraph"/>
        <w:numPr>
          <w:ilvl w:val="1"/>
          <w:numId w:val="27"/>
        </w:numPr>
        <w:tabs>
          <w:tab w:val="clear" w:pos="390"/>
          <w:tab w:val="left" w:pos="-4395"/>
          <w:tab w:val="left" w:pos="-3119"/>
          <w:tab w:val="left" w:pos="-2410"/>
          <w:tab w:val="num" w:pos="709"/>
        </w:tabs>
        <w:spacing w:line="276" w:lineRule="auto"/>
        <w:ind w:left="709" w:hanging="709"/>
        <w:contextualSpacing w:val="0"/>
        <w:rPr>
          <w:rFonts w:ascii="Trebuchet MS" w:eastAsia="Trebuchet MS" w:hAnsi="Trebuchet MS"/>
          <w:b/>
          <w:bCs/>
          <w:sz w:val="20"/>
          <w:szCs w:val="20"/>
        </w:rPr>
      </w:pPr>
      <w:r w:rsidRPr="00FA6E50">
        <w:rPr>
          <w:rFonts w:ascii="Trebuchet MS" w:eastAsia="Trebuchet MS" w:hAnsi="Trebuchet MS"/>
          <w:b/>
          <w:sz w:val="20"/>
          <w:szCs w:val="20"/>
        </w:rPr>
        <w:t xml:space="preserve">Ettekirjutus on motiveerimata ja vastuolus HMS §-ga 56. </w:t>
      </w:r>
    </w:p>
    <w:p w14:paraId="061D4AEB" w14:textId="77777777" w:rsidR="00FA6E50" w:rsidRPr="00FA6E50" w:rsidRDefault="00FA6E50" w:rsidP="00FA6E50">
      <w:pPr>
        <w:tabs>
          <w:tab w:val="left" w:pos="-4395"/>
          <w:tab w:val="left" w:pos="-3119"/>
          <w:tab w:val="left" w:pos="-2410"/>
          <w:tab w:val="num" w:pos="709"/>
        </w:tabs>
        <w:spacing w:line="276" w:lineRule="auto"/>
        <w:rPr>
          <w:rFonts w:eastAsia="Trebuchet MS"/>
          <w:b/>
          <w:bCs/>
          <w:szCs w:val="20"/>
          <w:lang w:val="et-EE"/>
        </w:rPr>
      </w:pPr>
    </w:p>
    <w:p w14:paraId="2CCFC44F" w14:textId="30FDD72D" w:rsidR="00FA6E50" w:rsidRPr="00FA6E50" w:rsidRDefault="00FA6E50" w:rsidP="00FA6E50">
      <w:pPr>
        <w:numPr>
          <w:ilvl w:val="2"/>
          <w:numId w:val="27"/>
        </w:numPr>
        <w:tabs>
          <w:tab w:val="clear" w:pos="862"/>
          <w:tab w:val="left" w:pos="-4395"/>
          <w:tab w:val="left" w:pos="-3119"/>
          <w:tab w:val="left" w:pos="-2410"/>
          <w:tab w:val="num" w:pos="709"/>
        </w:tabs>
        <w:spacing w:line="276" w:lineRule="auto"/>
        <w:ind w:left="709" w:hanging="709"/>
        <w:jc w:val="both"/>
        <w:rPr>
          <w:rFonts w:eastAsia="Trebuchet MS"/>
          <w:b/>
          <w:bCs/>
          <w:szCs w:val="20"/>
          <w:lang w:val="et-EE"/>
        </w:rPr>
      </w:pPr>
      <w:r w:rsidRPr="00FA6E50">
        <w:rPr>
          <w:rFonts w:eastAsia="Trebuchet MS" w:cs="Tahoma"/>
          <w:szCs w:val="20"/>
          <w:shd w:val="clear" w:color="auto" w:fill="FFFFFF"/>
          <w:lang w:val="et-EE"/>
        </w:rPr>
        <w:t>Haldusakt peab olema põhjendatud ning põhjendusest peab nähtuma</w:t>
      </w:r>
      <w:r>
        <w:rPr>
          <w:rFonts w:eastAsia="Trebuchet MS" w:cs="Tahoma"/>
          <w:szCs w:val="20"/>
          <w:shd w:val="clear" w:color="auto" w:fill="FFFFFF"/>
          <w:lang w:val="et-EE"/>
        </w:rPr>
        <w:t xml:space="preserve"> faktiline ja õiguslik alus (haldusmenetluse seaduse</w:t>
      </w:r>
      <w:r w:rsidRPr="00FA6E50">
        <w:rPr>
          <w:rFonts w:eastAsia="Trebuchet MS" w:cs="Tahoma"/>
          <w:szCs w:val="20"/>
          <w:shd w:val="clear" w:color="auto" w:fill="FFFFFF"/>
          <w:lang w:val="et-EE"/>
        </w:rPr>
        <w:t xml:space="preserve"> § 56 lg</w:t>
      </w:r>
      <w:r w:rsidRPr="00FA6E50">
        <w:rPr>
          <w:rFonts w:eastAsia="Trebuchet MS" w:cs="Tahoma"/>
          <w:szCs w:val="20"/>
          <w:shd w:val="clear" w:color="auto" w:fill="FFFFFF"/>
          <w:lang w:val="et-EE"/>
        </w:rPr>
        <w:noBreakHyphen/>
        <w:t>d 1 ja 2).</w:t>
      </w:r>
    </w:p>
    <w:p w14:paraId="39AAD83E" w14:textId="77777777" w:rsidR="00FA6E50" w:rsidRPr="00FA6E50" w:rsidRDefault="00FA6E50" w:rsidP="00FA6E50">
      <w:pPr>
        <w:tabs>
          <w:tab w:val="left" w:pos="-4395"/>
          <w:tab w:val="left" w:pos="-3119"/>
          <w:tab w:val="left" w:pos="-2410"/>
          <w:tab w:val="num" w:pos="709"/>
        </w:tabs>
        <w:spacing w:line="276" w:lineRule="auto"/>
        <w:ind w:hanging="862"/>
        <w:jc w:val="both"/>
        <w:rPr>
          <w:rFonts w:eastAsia="Trebuchet MS"/>
          <w:b/>
          <w:bCs/>
          <w:szCs w:val="20"/>
          <w:lang w:val="et-EE"/>
        </w:rPr>
      </w:pPr>
    </w:p>
    <w:p w14:paraId="6A368D0A" w14:textId="77777777" w:rsidR="00FA6E50" w:rsidRPr="00FA6E50" w:rsidRDefault="00FA6E50" w:rsidP="00FA6E50">
      <w:pPr>
        <w:numPr>
          <w:ilvl w:val="2"/>
          <w:numId w:val="27"/>
        </w:numPr>
        <w:tabs>
          <w:tab w:val="clear" w:pos="862"/>
          <w:tab w:val="left" w:pos="-4395"/>
          <w:tab w:val="left" w:pos="-3119"/>
          <w:tab w:val="left" w:pos="-2410"/>
          <w:tab w:val="num" w:pos="709"/>
        </w:tabs>
        <w:spacing w:line="276" w:lineRule="auto"/>
        <w:ind w:left="709" w:hanging="709"/>
        <w:jc w:val="both"/>
        <w:rPr>
          <w:rFonts w:eastAsia="Trebuchet MS"/>
          <w:b/>
          <w:bCs/>
          <w:szCs w:val="20"/>
          <w:lang w:val="et-EE"/>
        </w:rPr>
      </w:pPr>
      <w:r w:rsidRPr="00FA6E50">
        <w:rPr>
          <w:rFonts w:eastAsia="Trebuchet MS"/>
          <w:szCs w:val="20"/>
          <w:lang w:val="et-EE"/>
        </w:rPr>
        <w:t>Ettekirjutuses puudub elementaarne õiguslik põhjendus, mis võimaldaks kaebajal kui haldusevälisel isikul adekvaatselt aru saada tema suhtes riikliku järelevalve teostamise alusest ja võimalikkusest ning bitcoinide ostmise ja müügi korral RahaPTS järgimise kohustuslikkusest</w:t>
      </w:r>
      <w:r w:rsidRPr="00FA6E50">
        <w:rPr>
          <w:rFonts w:eastAsia="Trebuchet MS"/>
          <w:bCs/>
          <w:szCs w:val="20"/>
          <w:lang w:val="et-EE"/>
        </w:rPr>
        <w:t xml:space="preserve">. Ettekirjutuse </w:t>
      </w:r>
      <w:r w:rsidRPr="00FA6E50">
        <w:rPr>
          <w:rFonts w:eastAsia="Trebuchet MS"/>
          <w:szCs w:val="20"/>
          <w:lang w:val="et-EE"/>
        </w:rPr>
        <w:t>lakooniline põhistamata väide -</w:t>
      </w:r>
      <w:r w:rsidRPr="00FA6E50">
        <w:rPr>
          <w:rFonts w:eastAsia="Trebuchet MS"/>
          <w:i/>
          <w:szCs w:val="20"/>
          <w:lang w:val="et-EE"/>
        </w:rPr>
        <w:t xml:space="preserve"> Kuna Bitcoin on aktsepteeritud maksevahend erinevate üle maailma tegutsevate kauplejate juures, tuleb teda käsitleda alternatiivse maksevahendina</w:t>
      </w:r>
      <w:r w:rsidRPr="00FA6E50">
        <w:rPr>
          <w:rFonts w:eastAsia="Trebuchet MS"/>
          <w:szCs w:val="20"/>
          <w:lang w:val="et-EE"/>
        </w:rPr>
        <w:t xml:space="preserve"> – ei ole käsitletav faktilise ja õigusliku motivatsiooni omavahelise loogilise sidumisena, mis pidi kaebajat kui kohustava haldusakti (ettekirjutuse) adressaati veenma, et juhtumi asjaolud koostoimes kohaldatavate õigusaktidega toovad tõepoolest kaasa just sellesisulise haldusotsustuse tegemise.</w:t>
      </w:r>
      <w:r w:rsidRPr="00FA6E50">
        <w:rPr>
          <w:rFonts w:eastAsia="Trebuchet MS"/>
          <w:bCs/>
          <w:szCs w:val="20"/>
          <w:lang w:val="et-EE"/>
        </w:rPr>
        <w:t xml:space="preserve"> </w:t>
      </w:r>
    </w:p>
    <w:p w14:paraId="49CD97F1" w14:textId="77777777" w:rsidR="00FA6E50" w:rsidRPr="00FA6E50" w:rsidRDefault="00FA6E50" w:rsidP="00FA6E50">
      <w:pPr>
        <w:tabs>
          <w:tab w:val="left" w:pos="-4395"/>
          <w:tab w:val="left" w:pos="-3119"/>
          <w:tab w:val="left" w:pos="-2410"/>
          <w:tab w:val="num" w:pos="709"/>
        </w:tabs>
        <w:spacing w:line="276" w:lineRule="auto"/>
        <w:ind w:hanging="862"/>
        <w:rPr>
          <w:rFonts w:eastAsia="Trebuchet MS"/>
          <w:b/>
          <w:bCs/>
          <w:szCs w:val="20"/>
          <w:lang w:val="et-EE"/>
        </w:rPr>
      </w:pPr>
    </w:p>
    <w:p w14:paraId="6F4AD42F" w14:textId="77777777" w:rsidR="00FA6E50" w:rsidRPr="00FA6E50" w:rsidRDefault="00FA6E50" w:rsidP="00FA6E50">
      <w:pPr>
        <w:numPr>
          <w:ilvl w:val="2"/>
          <w:numId w:val="27"/>
        </w:numPr>
        <w:tabs>
          <w:tab w:val="clear" w:pos="862"/>
          <w:tab w:val="left" w:pos="-4395"/>
          <w:tab w:val="left" w:pos="-3119"/>
          <w:tab w:val="left" w:pos="-2410"/>
          <w:tab w:val="num" w:pos="709"/>
        </w:tabs>
        <w:spacing w:line="276" w:lineRule="auto"/>
        <w:ind w:left="709" w:hanging="709"/>
        <w:jc w:val="both"/>
        <w:rPr>
          <w:rFonts w:eastAsia="Trebuchet MS"/>
          <w:b/>
          <w:bCs/>
          <w:szCs w:val="20"/>
          <w:lang w:val="et-EE"/>
        </w:rPr>
      </w:pPr>
      <w:r w:rsidRPr="00FA6E50">
        <w:rPr>
          <w:rFonts w:eastAsia="Trebuchet MS"/>
          <w:bCs/>
          <w:szCs w:val="20"/>
          <w:lang w:val="et-EE"/>
        </w:rPr>
        <w:t xml:space="preserve">Olukorras, kus riigid, sh Eesti, ei ole reguleerinud bitcoine ega pole väljastanud selgitavaid käitumisjuhiseid (vt RahaPTS § 39) ning alles toimuvad diskussioonid küsimuses kas ja kui jah, siis kuidas bitcoine üleüldse reguleerida, peab riikliku järelevalve teostamine ja haldusevälise isiku hoiatamine riikliku sunnijõu rakendamise kavatsusest olema väga põhjalikult motiveeritud. Võib eeldada, et kaebuses etteheidetava olulise motiveerimispuude ongi tinginud asjaolu, et bitcoinidega kauplemine ei ole allutatud RahaPTS regulatsioonile ning RAB soovib kunstlikult ja omavoliliselt laiendada oma järelevalvepädevust ka sellele valdkonnale.  </w:t>
      </w:r>
    </w:p>
    <w:p w14:paraId="4F637CCE" w14:textId="77777777" w:rsidR="00FA6E50" w:rsidRPr="005F32DE" w:rsidRDefault="00FA6E50" w:rsidP="00FA6E50">
      <w:pPr>
        <w:tabs>
          <w:tab w:val="left" w:pos="-4395"/>
          <w:tab w:val="left" w:pos="-3119"/>
          <w:tab w:val="left" w:pos="-2410"/>
          <w:tab w:val="num" w:pos="709"/>
        </w:tabs>
        <w:spacing w:line="276" w:lineRule="auto"/>
        <w:rPr>
          <w:b/>
          <w:bCs/>
          <w:szCs w:val="20"/>
          <w:lang w:val="et-EE"/>
        </w:rPr>
      </w:pPr>
    </w:p>
    <w:p w14:paraId="4ECD7D2F" w14:textId="4E30DE83" w:rsidR="00356D4B" w:rsidRPr="005F32DE" w:rsidRDefault="00356D4B" w:rsidP="00FA6E50">
      <w:pPr>
        <w:pStyle w:val="ListParagraph"/>
        <w:numPr>
          <w:ilvl w:val="1"/>
          <w:numId w:val="27"/>
        </w:numPr>
        <w:tabs>
          <w:tab w:val="clear" w:pos="390"/>
          <w:tab w:val="num" w:pos="709"/>
        </w:tabs>
        <w:autoSpaceDE w:val="0"/>
        <w:autoSpaceDN w:val="0"/>
        <w:adjustRightInd w:val="0"/>
        <w:spacing w:line="276" w:lineRule="auto"/>
        <w:ind w:left="709" w:hanging="709"/>
        <w:contextualSpacing w:val="0"/>
        <w:rPr>
          <w:rFonts w:ascii="Trebuchet MS" w:hAnsi="Trebuchet MS"/>
          <w:b/>
          <w:sz w:val="20"/>
          <w:szCs w:val="20"/>
        </w:rPr>
      </w:pPr>
      <w:r w:rsidRPr="005F32DE">
        <w:rPr>
          <w:rFonts w:ascii="Trebuchet MS" w:hAnsi="Trebuchet MS"/>
          <w:b/>
          <w:sz w:val="20"/>
          <w:szCs w:val="20"/>
        </w:rPr>
        <w:t>RAB on eiranud lubamatult kaebaja enese mittesüüstamise privileegi</w:t>
      </w:r>
      <w:r w:rsidR="0075224C">
        <w:rPr>
          <w:rFonts w:ascii="Trebuchet MS" w:hAnsi="Trebuchet MS"/>
          <w:b/>
          <w:sz w:val="20"/>
          <w:szCs w:val="20"/>
        </w:rPr>
        <w:t>.</w:t>
      </w:r>
    </w:p>
    <w:p w14:paraId="3C484320" w14:textId="77777777" w:rsidR="00356D4B" w:rsidRPr="005F32DE" w:rsidRDefault="00356D4B" w:rsidP="00FA6E50">
      <w:pPr>
        <w:tabs>
          <w:tab w:val="num" w:pos="709"/>
        </w:tabs>
        <w:spacing w:line="276" w:lineRule="auto"/>
        <w:ind w:left="142"/>
        <w:rPr>
          <w:szCs w:val="20"/>
          <w:lang w:val="et-EE"/>
        </w:rPr>
      </w:pPr>
    </w:p>
    <w:p w14:paraId="3B43EE4E" w14:textId="39FDE09C" w:rsidR="00356D4B" w:rsidRPr="005F32DE"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RAB-i õigusele teostada riiklikku järelevalvet RahaPTS kohustat</w:t>
      </w:r>
      <w:r w:rsidR="002F6E44" w:rsidRPr="005F32DE">
        <w:rPr>
          <w:rFonts w:ascii="Trebuchet MS" w:hAnsi="Trebuchet MS"/>
          <w:sz w:val="20"/>
          <w:szCs w:val="20"/>
        </w:rPr>
        <w:t>ud subjektide üle korrespondeeru</w:t>
      </w:r>
      <w:r w:rsidRPr="005F32DE">
        <w:rPr>
          <w:rFonts w:ascii="Trebuchet MS" w:hAnsi="Trebuchet MS"/>
          <w:sz w:val="20"/>
          <w:szCs w:val="20"/>
        </w:rPr>
        <w:t>b nende subjektide kaasaaitamiskohustus, eeldades, et RAB tegutseb õiguspäraselt. Selline kaasaaitamiskohustus ei toimi aga eranditeta.</w:t>
      </w:r>
    </w:p>
    <w:p w14:paraId="3819EB59" w14:textId="77777777" w:rsidR="00356D4B" w:rsidRPr="005F32DE"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6FB168AB" w14:textId="77777777" w:rsidR="00555CDA" w:rsidRDefault="00356D4B" w:rsidP="00555CDA">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PS § 22 lg 3 kohaselt ei tohi kedagi sundida tunnistama iseenda või oma lähedaste vastu. Selle sätte mõtte kohaselt ei ole keegi sunnitud kaasa aitama enda või oma lähedaste poolt toime pandud kuriteo tõendamisele. Seega oleks sättega vastuolus olukord, kus kaasaaitamise kohustuse täitmisel on isik sunnitud andma ükskõik milliseid ja ükskõik mis ulatuses andmeid, mis võivad teda inkrimineerida. Lisaks oleks sättega vastuolus olukord, kus isik peaks detailselt põhjendama igast teabeküsimusest keeldumist, kuna sellisel juhul on inkrimineerimise oht suurem.</w:t>
      </w:r>
    </w:p>
    <w:p w14:paraId="76D776A0" w14:textId="77777777" w:rsidR="00555CDA" w:rsidRPr="00555CDA" w:rsidRDefault="00555CDA" w:rsidP="00555CDA">
      <w:pPr>
        <w:pStyle w:val="ListParagraph"/>
        <w:rPr>
          <w:rFonts w:ascii="Trebuchet MS" w:hAnsi="Trebuchet MS"/>
          <w:sz w:val="20"/>
          <w:szCs w:val="20"/>
        </w:rPr>
      </w:pPr>
    </w:p>
    <w:p w14:paraId="61876DB3" w14:textId="4F059EB2" w:rsidR="00555CDA" w:rsidRDefault="00555CDA" w:rsidP="00555CDA">
      <w:pPr>
        <w:pStyle w:val="ListParagraph"/>
        <w:numPr>
          <w:ilvl w:val="2"/>
          <w:numId w:val="27"/>
        </w:numPr>
        <w:spacing w:line="276" w:lineRule="auto"/>
        <w:ind w:left="709" w:hanging="709"/>
        <w:contextualSpacing w:val="0"/>
        <w:rPr>
          <w:rFonts w:ascii="Trebuchet MS" w:hAnsi="Trebuchet MS"/>
          <w:sz w:val="20"/>
          <w:szCs w:val="20"/>
        </w:rPr>
      </w:pPr>
      <w:r w:rsidRPr="00555CDA">
        <w:rPr>
          <w:rFonts w:ascii="Trebuchet MS" w:hAnsi="Trebuchet MS"/>
          <w:sz w:val="20"/>
          <w:szCs w:val="20"/>
        </w:rPr>
        <w:t xml:space="preserve">Kuigi Euroopa inimõiguste ja põhivabaduste kaitse konventsioon (edaspidi </w:t>
      </w:r>
      <w:r w:rsidRPr="00677090">
        <w:rPr>
          <w:rFonts w:ascii="Trebuchet MS" w:hAnsi="Trebuchet MS"/>
          <w:b/>
          <w:sz w:val="20"/>
          <w:szCs w:val="20"/>
        </w:rPr>
        <w:t>EIÕK</w:t>
      </w:r>
      <w:r w:rsidRPr="00555CDA">
        <w:rPr>
          <w:rFonts w:ascii="Trebuchet MS" w:hAnsi="Trebuchet MS"/>
          <w:sz w:val="20"/>
          <w:szCs w:val="20"/>
        </w:rPr>
        <w:t xml:space="preserve">) otsesõnu sellist põhiõigust ei sätesta, on menetlusalusel isikul õigus vaikida ja enese mittesüüstamise privileeg on </w:t>
      </w:r>
      <w:r w:rsidRPr="00555CDA">
        <w:rPr>
          <w:rFonts w:ascii="Trebuchet MS" w:hAnsi="Trebuchet MS"/>
          <w:sz w:val="20"/>
          <w:szCs w:val="20"/>
        </w:rPr>
        <w:lastRenderedPageBreak/>
        <w:t>EIÕK art 6 lg 1 nõuetele vastava õiglase menetluse keskne komponent, olles ühtlasi tihedalt seotud EIÕK art 6 lg-s 2 sätest</w:t>
      </w:r>
      <w:r>
        <w:rPr>
          <w:rFonts w:ascii="Trebuchet MS" w:hAnsi="Trebuchet MS"/>
          <w:sz w:val="20"/>
          <w:szCs w:val="20"/>
        </w:rPr>
        <w:t xml:space="preserve">atud süütuse presumptsiooniga. </w:t>
      </w:r>
      <w:r w:rsidRPr="00555CDA">
        <w:rPr>
          <w:rFonts w:ascii="Trebuchet MS" w:hAnsi="Trebuchet MS"/>
          <w:sz w:val="20"/>
          <w:szCs w:val="20"/>
        </w:rPr>
        <w:t xml:space="preserve">Seega on need üldtunnustatud rahvusvahelised standardid, mis on ühtlasi </w:t>
      </w:r>
      <w:r>
        <w:rPr>
          <w:rFonts w:ascii="Trebuchet MS" w:hAnsi="Trebuchet MS"/>
          <w:sz w:val="20"/>
          <w:szCs w:val="20"/>
        </w:rPr>
        <w:t>õiglase kohtumenetluse südameks</w:t>
      </w:r>
      <w:r w:rsidRPr="00555CDA">
        <w:rPr>
          <w:rFonts w:ascii="Trebuchet MS" w:hAnsi="Trebuchet MS"/>
          <w:sz w:val="20"/>
          <w:szCs w:val="20"/>
        </w:rPr>
        <w:t xml:space="preserve">, mida tuleb kohtumenetluses arvestada. </w:t>
      </w:r>
    </w:p>
    <w:p w14:paraId="4112031C" w14:textId="77777777" w:rsidR="00555CDA" w:rsidRPr="00555CDA" w:rsidRDefault="00555CDA" w:rsidP="00555CDA">
      <w:pPr>
        <w:pStyle w:val="ListParagraph"/>
        <w:rPr>
          <w:rFonts w:ascii="Trebuchet MS" w:hAnsi="Trebuchet MS"/>
          <w:sz w:val="20"/>
          <w:szCs w:val="20"/>
        </w:rPr>
      </w:pPr>
    </w:p>
    <w:p w14:paraId="0FA7D500" w14:textId="100F5375" w:rsidR="00555CDA" w:rsidRDefault="00555CDA" w:rsidP="00555CDA">
      <w:pPr>
        <w:pStyle w:val="ListParagraph"/>
        <w:numPr>
          <w:ilvl w:val="2"/>
          <w:numId w:val="27"/>
        </w:numPr>
        <w:spacing w:line="276" w:lineRule="auto"/>
        <w:ind w:left="709" w:hanging="709"/>
        <w:contextualSpacing w:val="0"/>
        <w:rPr>
          <w:rFonts w:ascii="Trebuchet MS" w:hAnsi="Trebuchet MS"/>
          <w:sz w:val="20"/>
          <w:szCs w:val="20"/>
        </w:rPr>
      </w:pPr>
      <w:r w:rsidRPr="00555CDA">
        <w:rPr>
          <w:rFonts w:ascii="Trebuchet MS" w:hAnsi="Trebuchet MS"/>
          <w:sz w:val="20"/>
          <w:szCs w:val="20"/>
        </w:rPr>
        <w:t>Ka Euroopa Inimõiguste Kohus on käsitlenud enese mittesüüstamise privileegi, leides, et vaikimisõiguse rikkumine võib kõne alla tulla siis, kui isikut sunnitakse avaldama teavet, mis võib viia isiku süüditunnistamiseni tulevases kriminaalmenetluses.  Kohus on sellele lisanud, et õigus vaikida ei ole absoluutne, peab olema seos teabe ja võimaliku süüteomenetluse vahel, mis ei tohi</w:t>
      </w:r>
      <w:r w:rsidR="005731A5">
        <w:rPr>
          <w:rFonts w:ascii="Trebuchet MS" w:hAnsi="Trebuchet MS"/>
          <w:sz w:val="20"/>
          <w:szCs w:val="20"/>
        </w:rPr>
        <w:t xml:space="preserve"> olla kauge ega hüpoteetiline. </w:t>
      </w:r>
      <w:r w:rsidRPr="00555CDA">
        <w:rPr>
          <w:rFonts w:ascii="Trebuchet MS" w:hAnsi="Trebuchet MS"/>
          <w:sz w:val="20"/>
          <w:szCs w:val="20"/>
        </w:rPr>
        <w:t xml:space="preserve">Sealhulgas on Euroopa Inimõiguste Kohus leidnud, et EIÕK art 6 lg-t 1 on rikutud ka siis, kui isikut sunnitakse ise üle andma dokumente olukorras, milles ei ole välistatud, et teda võidakse nende dokumentide alusel süüdistada kuriteo toimepanemises. </w:t>
      </w:r>
    </w:p>
    <w:p w14:paraId="6E4A0A04" w14:textId="77777777" w:rsidR="00555CDA" w:rsidRPr="00555CDA" w:rsidRDefault="00555CDA" w:rsidP="00555CDA">
      <w:pPr>
        <w:pStyle w:val="ListParagraph"/>
        <w:rPr>
          <w:rFonts w:ascii="Trebuchet MS" w:hAnsi="Trebuchet MS"/>
          <w:sz w:val="20"/>
          <w:szCs w:val="20"/>
        </w:rPr>
      </w:pPr>
    </w:p>
    <w:p w14:paraId="521882C0" w14:textId="34A30D82" w:rsidR="00356D4B" w:rsidRPr="00555CDA" w:rsidRDefault="00356D4B" w:rsidP="00555CDA">
      <w:pPr>
        <w:pStyle w:val="ListParagraph"/>
        <w:numPr>
          <w:ilvl w:val="2"/>
          <w:numId w:val="27"/>
        </w:numPr>
        <w:spacing w:line="276" w:lineRule="auto"/>
        <w:ind w:left="709" w:hanging="709"/>
        <w:contextualSpacing w:val="0"/>
        <w:rPr>
          <w:rFonts w:ascii="Trebuchet MS" w:hAnsi="Trebuchet MS"/>
          <w:sz w:val="20"/>
          <w:szCs w:val="20"/>
        </w:rPr>
      </w:pPr>
      <w:r w:rsidRPr="00555CDA">
        <w:rPr>
          <w:rFonts w:ascii="Trebuchet MS" w:hAnsi="Trebuchet MS"/>
          <w:sz w:val="20"/>
          <w:szCs w:val="20"/>
        </w:rPr>
        <w:t>Riigikohus on märkinud, et õigus tugineda enese mittesüüstamise privileegile ei sõltu isiku formaalsest menetluslikust seisundist, vaid, et oluline on isikult nõutava tõendusteabe faktiline iseloom - kas see viitab isiku poolt toime pandud kuriteole või mitte.</w:t>
      </w:r>
      <w:r w:rsidRPr="005F32DE">
        <w:rPr>
          <w:rStyle w:val="FootnoteReference"/>
          <w:rFonts w:ascii="Trebuchet MS" w:hAnsi="Trebuchet MS"/>
          <w:sz w:val="20"/>
          <w:szCs w:val="20"/>
        </w:rPr>
        <w:footnoteReference w:id="16"/>
      </w:r>
      <w:r w:rsidRPr="00555CDA">
        <w:rPr>
          <w:rFonts w:ascii="Trebuchet MS" w:hAnsi="Trebuchet MS"/>
          <w:sz w:val="20"/>
          <w:szCs w:val="20"/>
        </w:rPr>
        <w:t xml:space="preserve"> Riigikohus on</w:t>
      </w:r>
      <w:r w:rsidR="00DF1520" w:rsidRPr="00555CDA">
        <w:rPr>
          <w:rFonts w:ascii="Trebuchet MS" w:hAnsi="Trebuchet MS"/>
          <w:sz w:val="20"/>
          <w:szCs w:val="20"/>
        </w:rPr>
        <w:t xml:space="preserve"> hiljem leidnud maksuvaidluses (ning need seisukohad on </w:t>
      </w:r>
      <w:r w:rsidRPr="00555CDA">
        <w:rPr>
          <w:rFonts w:ascii="Trebuchet MS" w:hAnsi="Trebuchet MS"/>
          <w:sz w:val="20"/>
          <w:szCs w:val="20"/>
        </w:rPr>
        <w:t xml:space="preserve">praeguses asjas </w:t>
      </w:r>
      <w:r w:rsidR="00DF1520" w:rsidRPr="00555CDA">
        <w:rPr>
          <w:rFonts w:ascii="Trebuchet MS" w:hAnsi="Trebuchet MS"/>
          <w:sz w:val="20"/>
          <w:szCs w:val="20"/>
        </w:rPr>
        <w:t xml:space="preserve">kohaldatavad </w:t>
      </w:r>
      <w:r w:rsidRPr="00555CDA">
        <w:rPr>
          <w:rFonts w:ascii="Trebuchet MS" w:hAnsi="Trebuchet MS"/>
          <w:sz w:val="20"/>
          <w:szCs w:val="20"/>
        </w:rPr>
        <w:t>analoogia alusel</w:t>
      </w:r>
      <w:r w:rsidR="00DF1520" w:rsidRPr="00555CDA">
        <w:rPr>
          <w:rFonts w:ascii="Trebuchet MS" w:hAnsi="Trebuchet MS"/>
          <w:sz w:val="20"/>
          <w:szCs w:val="20"/>
        </w:rPr>
        <w:t>)</w:t>
      </w:r>
      <w:r w:rsidRPr="00555CDA">
        <w:rPr>
          <w:rFonts w:ascii="Trebuchet MS" w:hAnsi="Trebuchet MS"/>
          <w:sz w:val="20"/>
          <w:szCs w:val="20"/>
        </w:rPr>
        <w:t>, et kui kaasaaitamiskohustusele tuginedes isikult nõutava tõendusteabe faktiline iseloom viitab isiku poolt toime pandud kuriteole, on isikul õigus tugineda enese mittesüüstamise privileegile isegi siis, kui kriminaalmenetlust ei ole veel alustatud.</w:t>
      </w:r>
      <w:r w:rsidRPr="006E548E">
        <w:rPr>
          <w:rStyle w:val="FootnoteReference"/>
          <w:rFonts w:ascii="Trebuchet MS" w:hAnsi="Trebuchet MS"/>
          <w:sz w:val="20"/>
          <w:szCs w:val="20"/>
        </w:rPr>
        <w:footnoteReference w:id="17"/>
      </w:r>
      <w:r w:rsidRPr="00555CDA">
        <w:rPr>
          <w:rFonts w:ascii="Trebuchet MS" w:hAnsi="Trebuchet MS"/>
          <w:sz w:val="20"/>
          <w:szCs w:val="20"/>
        </w:rPr>
        <w:t xml:space="preserve"> Tartu Ringkonnakohus on märkinud, et Euroopa Inimõiguste Kohtu 10.02.1983 otsusest asjas </w:t>
      </w:r>
      <w:r w:rsidRPr="00555CDA">
        <w:rPr>
          <w:rFonts w:ascii="Trebuchet MS" w:hAnsi="Trebuchet MS"/>
          <w:i/>
          <w:sz w:val="20"/>
          <w:szCs w:val="20"/>
        </w:rPr>
        <w:t>Albert ja Le Compte vs. Belgia</w:t>
      </w:r>
      <w:r w:rsidRPr="006E548E">
        <w:rPr>
          <w:rStyle w:val="FootnoteReference"/>
          <w:rFonts w:ascii="Trebuchet MS" w:hAnsi="Trebuchet MS"/>
          <w:i/>
          <w:sz w:val="20"/>
          <w:szCs w:val="20"/>
        </w:rPr>
        <w:footnoteReference w:id="18"/>
      </w:r>
      <w:r w:rsidRPr="00555CDA">
        <w:rPr>
          <w:rFonts w:ascii="Trebuchet MS" w:hAnsi="Trebuchet MS"/>
          <w:sz w:val="20"/>
          <w:szCs w:val="20"/>
        </w:rPr>
        <w:t xml:space="preserve"> ega ka muudest Euroopa Inimõiguste Kohtu lahenditest ei tulene, et kriminaalmenetluslikku vaikimisõigust tuleks eelistada kaasaaitamiskohustusele ja menetluse efektiivsele läbiviimisele, kui puudub oht, et avaldatud andmeid kasutatakse isiku süüdistamisel.</w:t>
      </w:r>
      <w:r w:rsidRPr="006E548E">
        <w:rPr>
          <w:rStyle w:val="FootnoteReference"/>
          <w:rFonts w:ascii="Trebuchet MS" w:hAnsi="Trebuchet MS"/>
          <w:sz w:val="20"/>
          <w:szCs w:val="20"/>
        </w:rPr>
        <w:footnoteReference w:id="19"/>
      </w:r>
      <w:r w:rsidRPr="00555CDA">
        <w:rPr>
          <w:rFonts w:ascii="Trebuchet MS" w:hAnsi="Trebuchet MS"/>
          <w:sz w:val="20"/>
          <w:szCs w:val="20"/>
        </w:rPr>
        <w:t xml:space="preserve"> Järelikult kui on selline oht olemas, siis tuleks vaikimisõigust ning enese mittesüüstamise privileegi käsitleda kui erandit kaasaaitamise kohustuse suhtes. </w:t>
      </w:r>
    </w:p>
    <w:p w14:paraId="115CD193" w14:textId="77777777" w:rsidR="00356D4B" w:rsidRPr="006E548E"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190052D0" w14:textId="1404130A" w:rsidR="00356D4B" w:rsidRPr="00330F78"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 xml:space="preserve">Tallinna Ringkonnakohus </w:t>
      </w:r>
      <w:r w:rsidR="00555CDA">
        <w:rPr>
          <w:rFonts w:ascii="Trebuchet MS" w:hAnsi="Trebuchet MS"/>
          <w:sz w:val="20"/>
          <w:szCs w:val="20"/>
        </w:rPr>
        <w:t xml:space="preserve">ei </w:t>
      </w:r>
      <w:r w:rsidR="00555CDA" w:rsidRPr="00330F78">
        <w:rPr>
          <w:rFonts w:ascii="Trebuchet MS" w:hAnsi="Trebuchet MS"/>
          <w:sz w:val="20"/>
          <w:szCs w:val="20"/>
        </w:rPr>
        <w:t xml:space="preserve">ole sisuliselt </w:t>
      </w:r>
      <w:r w:rsidRPr="00330F78">
        <w:rPr>
          <w:rFonts w:ascii="Trebuchet MS" w:hAnsi="Trebuchet MS"/>
          <w:sz w:val="20"/>
          <w:szCs w:val="20"/>
        </w:rPr>
        <w:t xml:space="preserve">eitanud </w:t>
      </w:r>
      <w:r w:rsidR="00555CDA" w:rsidRPr="00330F78">
        <w:rPr>
          <w:rFonts w:ascii="Trebuchet MS" w:hAnsi="Trebuchet MS"/>
          <w:sz w:val="20"/>
          <w:szCs w:val="20"/>
        </w:rPr>
        <w:t>kaebaja õigust</w:t>
      </w:r>
      <w:r w:rsidRPr="00330F78">
        <w:rPr>
          <w:rFonts w:ascii="Trebuchet MS" w:hAnsi="Trebuchet MS"/>
          <w:sz w:val="20"/>
          <w:szCs w:val="20"/>
        </w:rPr>
        <w:t xml:space="preserve"> tugineda enese mittesüüstamise põ</w:t>
      </w:r>
      <w:r w:rsidR="00555CDA" w:rsidRPr="00330F78">
        <w:rPr>
          <w:rFonts w:ascii="Trebuchet MS" w:hAnsi="Trebuchet MS"/>
          <w:sz w:val="20"/>
          <w:szCs w:val="20"/>
        </w:rPr>
        <w:t>himõttele, vaid nentinud, et seda</w:t>
      </w:r>
      <w:r w:rsidRPr="00330F78">
        <w:rPr>
          <w:rFonts w:ascii="Trebuchet MS" w:hAnsi="Trebuchet MS"/>
          <w:sz w:val="20"/>
          <w:szCs w:val="20"/>
        </w:rPr>
        <w:t xml:space="preserve"> pole piisaval määral põhjendatud (vt läh</w:t>
      </w:r>
      <w:r w:rsidR="00FA6E50" w:rsidRPr="00330F78">
        <w:rPr>
          <w:rFonts w:ascii="Trebuchet MS" w:hAnsi="Trebuchet MS"/>
          <w:sz w:val="20"/>
          <w:szCs w:val="20"/>
        </w:rPr>
        <w:t>emalt kassatsioonkaebuse p-d 3.6</w:t>
      </w:r>
      <w:r w:rsidR="00330F78" w:rsidRPr="00330F78">
        <w:rPr>
          <w:rFonts w:ascii="Trebuchet MS" w:hAnsi="Trebuchet MS"/>
          <w:sz w:val="20"/>
          <w:szCs w:val="20"/>
        </w:rPr>
        <w:t>.8</w:t>
      </w:r>
      <w:r w:rsidR="00FA6E50" w:rsidRPr="00330F78">
        <w:rPr>
          <w:rFonts w:ascii="Trebuchet MS" w:hAnsi="Trebuchet MS"/>
          <w:sz w:val="20"/>
          <w:szCs w:val="20"/>
        </w:rPr>
        <w:t>-3.6</w:t>
      </w:r>
      <w:r w:rsidR="00555CDA" w:rsidRPr="00330F78">
        <w:rPr>
          <w:rFonts w:ascii="Trebuchet MS" w:hAnsi="Trebuchet MS"/>
          <w:sz w:val="20"/>
          <w:szCs w:val="20"/>
        </w:rPr>
        <w:t>.10</w:t>
      </w:r>
      <w:r w:rsidRPr="00330F78">
        <w:rPr>
          <w:rFonts w:ascii="Trebuchet MS" w:hAnsi="Trebuchet MS"/>
          <w:sz w:val="20"/>
          <w:szCs w:val="20"/>
        </w:rPr>
        <w:t>)</w:t>
      </w:r>
      <w:r w:rsidR="00555CDA" w:rsidRPr="00330F78">
        <w:rPr>
          <w:rFonts w:ascii="Trebuchet MS" w:hAnsi="Trebuchet MS"/>
          <w:sz w:val="20"/>
          <w:szCs w:val="20"/>
        </w:rPr>
        <w:t xml:space="preserve"> ning </w:t>
      </w:r>
      <w:r w:rsidRPr="00330F78">
        <w:rPr>
          <w:rFonts w:ascii="Trebuchet MS" w:hAnsi="Trebuchet MS"/>
          <w:sz w:val="20"/>
          <w:szCs w:val="20"/>
        </w:rPr>
        <w:t xml:space="preserve">sellele pole kaebaja tuginenud </w:t>
      </w:r>
      <w:r w:rsidR="00555CDA" w:rsidRPr="00330F78">
        <w:rPr>
          <w:rFonts w:ascii="Trebuchet MS" w:hAnsi="Trebuchet MS"/>
          <w:sz w:val="20"/>
          <w:szCs w:val="20"/>
        </w:rPr>
        <w:t xml:space="preserve">ettekirjutuse </w:t>
      </w:r>
      <w:r w:rsidRPr="00330F78">
        <w:rPr>
          <w:rFonts w:ascii="Trebuchet MS" w:hAnsi="Trebuchet MS"/>
          <w:sz w:val="20"/>
          <w:szCs w:val="20"/>
        </w:rPr>
        <w:t>mittetäitmise õigustusena (vt lähemalt kassatsioonkaeb</w:t>
      </w:r>
      <w:r w:rsidR="00FA6E50" w:rsidRPr="00330F78">
        <w:rPr>
          <w:rFonts w:ascii="Trebuchet MS" w:hAnsi="Trebuchet MS"/>
          <w:sz w:val="20"/>
          <w:szCs w:val="20"/>
        </w:rPr>
        <w:t>use p 3.6</w:t>
      </w:r>
      <w:r w:rsidR="00555CDA" w:rsidRPr="00330F78">
        <w:rPr>
          <w:rFonts w:ascii="Trebuchet MS" w:hAnsi="Trebuchet MS"/>
          <w:sz w:val="20"/>
          <w:szCs w:val="20"/>
        </w:rPr>
        <w:t>.11</w:t>
      </w:r>
      <w:r w:rsidRPr="00330F78">
        <w:rPr>
          <w:rFonts w:ascii="Trebuchet MS" w:hAnsi="Trebuchet MS"/>
          <w:sz w:val="20"/>
          <w:szCs w:val="20"/>
        </w:rPr>
        <w:t xml:space="preserve">). </w:t>
      </w:r>
    </w:p>
    <w:p w14:paraId="3C75A777" w14:textId="77777777" w:rsidR="00356D4B" w:rsidRPr="005F32DE"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08A65906" w14:textId="34CC332C" w:rsidR="00356D4B" w:rsidRPr="005F32DE"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 xml:space="preserve">Praeguses asjas nõuab RAB kaebajalt ettekirjutusega teavet, mille avaldamine võib kaasa tuua kaebaja teo süüks arvamise karistusseadustiku (edaspidi </w:t>
      </w:r>
      <w:r w:rsidRPr="005F32DE">
        <w:rPr>
          <w:rFonts w:ascii="Trebuchet MS" w:hAnsi="Trebuchet MS"/>
          <w:b/>
          <w:sz w:val="20"/>
          <w:szCs w:val="20"/>
        </w:rPr>
        <w:t>KarS</w:t>
      </w:r>
      <w:r w:rsidRPr="005F32DE">
        <w:rPr>
          <w:rFonts w:ascii="Trebuchet MS" w:hAnsi="Trebuchet MS"/>
          <w:sz w:val="20"/>
          <w:szCs w:val="20"/>
        </w:rPr>
        <w:t xml:space="preserve">) § 372 lg 2 p 3 järgi. </w:t>
      </w:r>
    </w:p>
    <w:p w14:paraId="70B1F805" w14:textId="77777777" w:rsidR="00356D4B" w:rsidRPr="005F32DE"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7684C489" w14:textId="6B2695BF" w:rsidR="00356D4B" w:rsidRPr="00555CDA"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PS § 11 viimane lause sätestab, et õiguse ja vabaduste piirangud ei tohi moonutada piiratavate õiguste ja vabaduste olemust. Subjektiivse relatiivse teooria kohaselt on praeguses asjas enese mittediskrimineerimise privileegi eiramine lubamatu moonutamine PS § 11 mõistes. Subjektiivse teooria kohaselt ei tohi ükski piirang moonutada põhiõiguse olemust nii, et põhiõiguse kandjale ei jää õigusest midagi järele. Relatiivse teooria kohaselt on õiguse olemuse moonutamise keeld identne proportsionaalsusega kitsamas tähenduses ehk mõõdukusega. Kui riive on õigustatud, siis ei ole õiguse olemust moonutatud, samal ajal kui ebaproportsionaalne riive alati õiguse olemust moonutab ning on seega keelatud.</w:t>
      </w:r>
      <w:r w:rsidRPr="005F32DE">
        <w:rPr>
          <w:rStyle w:val="FootnoteReference"/>
          <w:rFonts w:ascii="Trebuchet MS" w:hAnsi="Trebuchet MS"/>
          <w:sz w:val="20"/>
          <w:szCs w:val="20"/>
        </w:rPr>
        <w:footnoteReference w:id="20"/>
      </w:r>
      <w:r w:rsidRPr="005F32DE">
        <w:rPr>
          <w:rFonts w:ascii="Trebuchet MS" w:hAnsi="Trebuchet MS"/>
          <w:sz w:val="20"/>
          <w:szCs w:val="20"/>
        </w:rPr>
        <w:t xml:space="preserve"> Ne</w:t>
      </w:r>
      <w:r w:rsidR="00555CDA">
        <w:rPr>
          <w:rFonts w:ascii="Trebuchet MS" w:hAnsi="Trebuchet MS"/>
          <w:sz w:val="20"/>
          <w:szCs w:val="20"/>
        </w:rPr>
        <w:t>ntides, et kõikidele ettekirjutu</w:t>
      </w:r>
      <w:r w:rsidRPr="005F32DE">
        <w:rPr>
          <w:rFonts w:ascii="Trebuchet MS" w:hAnsi="Trebuchet MS"/>
          <w:sz w:val="20"/>
          <w:szCs w:val="20"/>
        </w:rPr>
        <w:t>ses toodud kü</w:t>
      </w:r>
      <w:r w:rsidR="00555CDA">
        <w:rPr>
          <w:rFonts w:ascii="Trebuchet MS" w:hAnsi="Trebuchet MS"/>
          <w:sz w:val="20"/>
          <w:szCs w:val="20"/>
        </w:rPr>
        <w:t>simustele vastamisest keeldudes</w:t>
      </w:r>
      <w:r w:rsidRPr="005F32DE">
        <w:rPr>
          <w:rFonts w:ascii="Trebuchet MS" w:hAnsi="Trebuchet MS"/>
          <w:sz w:val="20"/>
          <w:szCs w:val="20"/>
        </w:rPr>
        <w:t xml:space="preserve"> peab põhistama iga küsimuse seost võimaliku süüteo ja teabe seosega, jaatatakse olukorda, mis viib olukorrani, kus kaebajale pole enam tagatud enese mittesüüstamise privileegi. Selline sekkumise ulatus, mis kaotab isiku õiguse ennast või oma lähedasi mitte inkrimineerida, ei saa olla </w:t>
      </w:r>
      <w:r w:rsidRPr="00555CDA">
        <w:rPr>
          <w:rFonts w:ascii="Trebuchet MS" w:hAnsi="Trebuchet MS"/>
          <w:sz w:val="20"/>
          <w:szCs w:val="20"/>
        </w:rPr>
        <w:lastRenderedPageBreak/>
        <w:t>demokraatlikus ühiskonnas mõõdukas. Sekkumise ulatus antud juhul pole mõõdukas võrreldes eesmärgi tähtsusega - järelevalve õiguskorra üle ei kaalu üles isiku põhiõiguse riivet</w:t>
      </w:r>
      <w:r w:rsidRPr="00555CDA">
        <w:rPr>
          <w:rStyle w:val="FootnoteReference"/>
          <w:rFonts w:ascii="Trebuchet MS" w:hAnsi="Trebuchet MS"/>
          <w:sz w:val="20"/>
          <w:szCs w:val="20"/>
        </w:rPr>
        <w:footnoteReference w:id="21"/>
      </w:r>
      <w:r w:rsidRPr="00555CDA">
        <w:rPr>
          <w:rFonts w:ascii="Trebuchet MS" w:hAnsi="Trebuchet MS"/>
          <w:sz w:val="20"/>
          <w:szCs w:val="20"/>
        </w:rPr>
        <w:t>.</w:t>
      </w:r>
    </w:p>
    <w:p w14:paraId="5E74AB30" w14:textId="77777777" w:rsidR="00356D4B" w:rsidRPr="00555CDA"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3CD82E2C" w14:textId="6D321BBF" w:rsidR="00356D4B" w:rsidRPr="00555CDA"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55CDA">
        <w:rPr>
          <w:rFonts w:ascii="Trebuchet MS" w:hAnsi="Trebuchet MS"/>
          <w:sz w:val="20"/>
          <w:szCs w:val="20"/>
        </w:rPr>
        <w:t xml:space="preserve">Kõik ettekirjutuses </w:t>
      </w:r>
      <w:r w:rsidR="00B161BC">
        <w:rPr>
          <w:rFonts w:ascii="Trebuchet MS" w:hAnsi="Trebuchet MS"/>
          <w:sz w:val="20"/>
          <w:szCs w:val="20"/>
        </w:rPr>
        <w:t>esitat</w:t>
      </w:r>
      <w:r w:rsidRPr="00555CDA">
        <w:rPr>
          <w:rFonts w:ascii="Trebuchet MS" w:hAnsi="Trebuchet MS"/>
          <w:sz w:val="20"/>
          <w:szCs w:val="20"/>
        </w:rPr>
        <w:t>ud küsimused on omavahelises seoses, mistõttu nende</w:t>
      </w:r>
      <w:r w:rsidR="00B56AA0">
        <w:rPr>
          <w:rFonts w:ascii="Trebuchet MS" w:hAnsi="Trebuchet MS"/>
          <w:sz w:val="20"/>
          <w:szCs w:val="20"/>
        </w:rPr>
        <w:t>le vastamata jätmise</w:t>
      </w:r>
      <w:r w:rsidRPr="00555CDA">
        <w:rPr>
          <w:rFonts w:ascii="Trebuchet MS" w:hAnsi="Trebuchet MS"/>
          <w:sz w:val="20"/>
          <w:szCs w:val="20"/>
        </w:rPr>
        <w:t xml:space="preserve"> eraldi põhistamine pole mõistlik, kuna küsimuste omavahelise seotuse tõttu oleks põhistus üldjoones sarnane ning iga küsimuse vastus annaks aimu inkrimineerida võivast sisust. Seega detailsema põhistuse andmine oleks vastuolus enese mittesüüstamise privileegi ideega ja piiraks oluliselt isiku õigusi, kuna põhistades privileegile tuginemist võib selline põhistamine ise avaldada endas inkrimineerivat teavet. See tähendab, et iga üksiku küsimuse vastus võib viia järelduseni kaebajat inkrimineerida võiva teabeni. Ka Riigikohus on leidnud, et PS § 22 lg</w:t>
      </w:r>
      <w:r w:rsidR="00B56AA0">
        <w:rPr>
          <w:rFonts w:ascii="Trebuchet MS" w:hAnsi="Trebuchet MS"/>
          <w:sz w:val="20"/>
          <w:szCs w:val="20"/>
        </w:rPr>
        <w:t>-s</w:t>
      </w:r>
      <w:r w:rsidRPr="00555CDA">
        <w:rPr>
          <w:rFonts w:ascii="Trebuchet MS" w:hAnsi="Trebuchet MS"/>
          <w:sz w:val="20"/>
          <w:szCs w:val="20"/>
        </w:rPr>
        <w:t xml:space="preserve"> 3 sätestatud põhiõiguse olemuse moonutamisega oleks ilmselt tegemist ka siis, kui nõuda, et ütluste andmisest võiks keelduda vaid see isik, kelle puhul ütluste andmine peaks absoluutse kindlusega tähendama tema süüditunnistamist.</w:t>
      </w:r>
      <w:r w:rsidRPr="00555CDA">
        <w:rPr>
          <w:rStyle w:val="FootnoteReference"/>
          <w:rFonts w:ascii="Trebuchet MS" w:hAnsi="Trebuchet MS"/>
          <w:sz w:val="20"/>
          <w:szCs w:val="20"/>
        </w:rPr>
        <w:footnoteReference w:id="22"/>
      </w:r>
      <w:r w:rsidRPr="00555CDA">
        <w:rPr>
          <w:rFonts w:ascii="Trebuchet MS" w:hAnsi="Trebuchet MS"/>
          <w:sz w:val="20"/>
          <w:szCs w:val="20"/>
        </w:rPr>
        <w:t xml:space="preserve"> Analoogselt oleks tegemist sellise juhtumiga ka praeguses asjas. Sisuliselt oleks sellise karmi põhistamiskohustuse tulemiks olukord, kus isikul on võimalik teabe andmisest keeldumiseks vaid põhistada, et teabe andmine tähendab absoluutse kindlusega seda, et ta ongi </w:t>
      </w:r>
      <w:r w:rsidR="00B56AA0">
        <w:rPr>
          <w:rFonts w:ascii="Trebuchet MS" w:hAnsi="Trebuchet MS"/>
          <w:sz w:val="20"/>
          <w:szCs w:val="20"/>
        </w:rPr>
        <w:t>õigus</w:t>
      </w:r>
      <w:r w:rsidRPr="00555CDA">
        <w:rPr>
          <w:rFonts w:ascii="Trebuchet MS" w:hAnsi="Trebuchet MS"/>
          <w:sz w:val="20"/>
          <w:szCs w:val="20"/>
        </w:rPr>
        <w:t>rik</w:t>
      </w:r>
      <w:r w:rsidR="00B56AA0">
        <w:rPr>
          <w:rFonts w:ascii="Trebuchet MS" w:hAnsi="Trebuchet MS"/>
          <w:sz w:val="20"/>
          <w:szCs w:val="20"/>
        </w:rPr>
        <w:t>k</w:t>
      </w:r>
      <w:r w:rsidRPr="00555CDA">
        <w:rPr>
          <w:rFonts w:ascii="Trebuchet MS" w:hAnsi="Trebuchet MS"/>
          <w:sz w:val="20"/>
          <w:szCs w:val="20"/>
        </w:rPr>
        <w:t xml:space="preserve">umise korda pannud. Järelikult jõuaks selline põhistamiskohustusele tõdemus </w:t>
      </w:r>
      <w:r w:rsidR="00B56AA0">
        <w:rPr>
          <w:rFonts w:ascii="Trebuchet MS" w:hAnsi="Trebuchet MS"/>
          <w:sz w:val="20"/>
          <w:szCs w:val="20"/>
        </w:rPr>
        <w:t>praeguses</w:t>
      </w:r>
      <w:r w:rsidRPr="00555CDA">
        <w:rPr>
          <w:rFonts w:ascii="Trebuchet MS" w:hAnsi="Trebuchet MS"/>
          <w:sz w:val="20"/>
          <w:szCs w:val="20"/>
        </w:rPr>
        <w:t xml:space="preserve"> asjas punkti, kus enese mittesüüstamise privileeg muutuks kasutuks. </w:t>
      </w:r>
    </w:p>
    <w:p w14:paraId="4C7030BD" w14:textId="77777777" w:rsidR="00356D4B" w:rsidRPr="005F32DE"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070AABF0" w14:textId="4FCEA0D3" w:rsidR="00356D4B" w:rsidRPr="005F32DE"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Kaebajale teadaolevalt on analoogses asjas alustatud kriminaalmenetlust isiku suhtes ja esitatud süüdistus KarS § 372 lg 2 p 3 alusel (vt kaeb</w:t>
      </w:r>
      <w:r w:rsidR="00B56AA0">
        <w:rPr>
          <w:rFonts w:ascii="Trebuchet MS" w:hAnsi="Trebuchet MS"/>
          <w:sz w:val="20"/>
          <w:szCs w:val="20"/>
        </w:rPr>
        <w:t>aja 10.06.2014 arvamuse p 2.2.3</w:t>
      </w:r>
      <w:r w:rsidRPr="005F32DE">
        <w:rPr>
          <w:rFonts w:ascii="Trebuchet MS" w:hAnsi="Trebuchet MS"/>
          <w:sz w:val="20"/>
          <w:szCs w:val="20"/>
        </w:rPr>
        <w:t>). Ainuüksi seetõttu ei saa välistada ka kaebaja suhtes kriminaalmenetluslike vahendit</w:t>
      </w:r>
      <w:r w:rsidR="00B56AA0">
        <w:rPr>
          <w:rFonts w:ascii="Trebuchet MS" w:hAnsi="Trebuchet MS"/>
          <w:sz w:val="20"/>
          <w:szCs w:val="20"/>
        </w:rPr>
        <w:t>e rakendamist pärast ettekirjutu</w:t>
      </w:r>
      <w:r w:rsidRPr="005F32DE">
        <w:rPr>
          <w:rFonts w:ascii="Trebuchet MS" w:hAnsi="Trebuchet MS"/>
          <w:sz w:val="20"/>
          <w:szCs w:val="20"/>
        </w:rPr>
        <w:t>se täitmist ning seda veendumust süvendab asjaolu, et RAB on juba kaebajat hoiatanud eelnimetatud sätte kohaldamise võimalikkus</w:t>
      </w:r>
      <w:r w:rsidR="00B56AA0">
        <w:rPr>
          <w:rFonts w:ascii="Trebuchet MS" w:hAnsi="Trebuchet MS"/>
          <w:sz w:val="20"/>
          <w:szCs w:val="20"/>
        </w:rPr>
        <w:t>est e-kirjavahetuses kaebajaga enne ettekirjutu</w:t>
      </w:r>
      <w:r w:rsidRPr="005F32DE">
        <w:rPr>
          <w:rFonts w:ascii="Trebuchet MS" w:hAnsi="Trebuchet MS"/>
          <w:sz w:val="20"/>
          <w:szCs w:val="20"/>
        </w:rPr>
        <w:t xml:space="preserve">se tegemist. Seega on olemas realistlik seos võimaliku teabe </w:t>
      </w:r>
      <w:r w:rsidR="00B56AA0">
        <w:rPr>
          <w:rFonts w:ascii="Trebuchet MS" w:hAnsi="Trebuchet MS"/>
          <w:sz w:val="20"/>
          <w:szCs w:val="20"/>
        </w:rPr>
        <w:t>ja süüteo vahel, mis pole kauge</w:t>
      </w:r>
      <w:r w:rsidRPr="005F32DE">
        <w:rPr>
          <w:rFonts w:ascii="Trebuchet MS" w:hAnsi="Trebuchet MS"/>
          <w:sz w:val="20"/>
          <w:szCs w:val="20"/>
        </w:rPr>
        <w:t xml:space="preserve">. </w:t>
      </w:r>
    </w:p>
    <w:p w14:paraId="3F72D188" w14:textId="77777777" w:rsidR="00356D4B" w:rsidRPr="005F32DE"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32DD22DA" w14:textId="39A3A963" w:rsidR="00356D4B" w:rsidRPr="005F32DE"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 xml:space="preserve">Asjaolu, et kaebaja pole tuginenud enese mittesüüstamise privileegile </w:t>
      </w:r>
      <w:r w:rsidR="00B56AA0">
        <w:rPr>
          <w:rFonts w:ascii="Trebuchet MS" w:hAnsi="Trebuchet MS"/>
          <w:sz w:val="20"/>
          <w:szCs w:val="20"/>
        </w:rPr>
        <w:t xml:space="preserve">ettekirjutuse </w:t>
      </w:r>
      <w:r w:rsidRPr="005F32DE">
        <w:rPr>
          <w:rFonts w:ascii="Trebuchet MS" w:hAnsi="Trebuchet MS"/>
          <w:sz w:val="20"/>
          <w:szCs w:val="20"/>
        </w:rPr>
        <w:t>mittetäitmise õigustusena</w:t>
      </w:r>
      <w:r w:rsidR="00B56AA0">
        <w:rPr>
          <w:rFonts w:ascii="Trebuchet MS" w:hAnsi="Trebuchet MS"/>
          <w:sz w:val="20"/>
          <w:szCs w:val="20"/>
        </w:rPr>
        <w:t xml:space="preserve"> järelevalvemenetluses</w:t>
      </w:r>
      <w:r w:rsidRPr="005F32DE">
        <w:rPr>
          <w:rFonts w:ascii="Trebuchet MS" w:hAnsi="Trebuchet MS"/>
          <w:sz w:val="20"/>
          <w:szCs w:val="20"/>
        </w:rPr>
        <w:t xml:space="preserve">, pole </w:t>
      </w:r>
      <w:r w:rsidR="00B56AA0">
        <w:rPr>
          <w:rFonts w:ascii="Trebuchet MS" w:hAnsi="Trebuchet MS"/>
          <w:sz w:val="20"/>
          <w:szCs w:val="20"/>
        </w:rPr>
        <w:t>praeguses</w:t>
      </w:r>
      <w:r w:rsidRPr="005F32DE">
        <w:rPr>
          <w:rFonts w:ascii="Trebuchet MS" w:hAnsi="Trebuchet MS"/>
          <w:sz w:val="20"/>
          <w:szCs w:val="20"/>
        </w:rPr>
        <w:t xml:space="preserve"> asjas asjakohane. PS § 14 sätestab, et õiguste ja vabaduste tagamine on seadusandliku, täidesaatva ja kohtuvõimu ning kohalike omavalitsuste kohustus. Tagamine laiemas tähenduses antud sättes nõuab lisaks seotusele aktiivset tegevust.</w:t>
      </w:r>
      <w:r w:rsidRPr="005F32DE">
        <w:rPr>
          <w:rStyle w:val="FootnoteReference"/>
          <w:rFonts w:ascii="Trebuchet MS" w:hAnsi="Trebuchet MS"/>
          <w:sz w:val="20"/>
          <w:szCs w:val="20"/>
        </w:rPr>
        <w:footnoteReference w:id="23"/>
      </w:r>
      <w:r w:rsidRPr="005F32DE">
        <w:rPr>
          <w:rFonts w:ascii="Trebuchet MS" w:hAnsi="Trebuchet MS"/>
          <w:sz w:val="20"/>
          <w:szCs w:val="20"/>
        </w:rPr>
        <w:t xml:space="preserve"> Seega on </w:t>
      </w:r>
      <w:r w:rsidR="00B56AA0">
        <w:rPr>
          <w:rFonts w:ascii="Trebuchet MS" w:hAnsi="Trebuchet MS"/>
          <w:sz w:val="20"/>
          <w:szCs w:val="20"/>
        </w:rPr>
        <w:t>haldus</w:t>
      </w:r>
      <w:r w:rsidRPr="005F32DE">
        <w:rPr>
          <w:rFonts w:ascii="Trebuchet MS" w:hAnsi="Trebuchet MS"/>
          <w:sz w:val="20"/>
          <w:szCs w:val="20"/>
        </w:rPr>
        <w:t xml:space="preserve">kohtu kohustus tagada ja seda läbi oma aktiivse tegevuse, et menetlusosaliste õiguseid ei riivataks ning nendega arvestataks. </w:t>
      </w:r>
      <w:r w:rsidR="00B56AA0">
        <w:rPr>
          <w:rFonts w:ascii="Trebuchet MS" w:hAnsi="Trebuchet MS"/>
          <w:sz w:val="20"/>
          <w:szCs w:val="20"/>
        </w:rPr>
        <w:t>Olenemata sellest,</w:t>
      </w:r>
      <w:r w:rsidRPr="005F32DE">
        <w:rPr>
          <w:rFonts w:ascii="Trebuchet MS" w:hAnsi="Trebuchet MS"/>
          <w:sz w:val="20"/>
          <w:szCs w:val="20"/>
        </w:rPr>
        <w:t xml:space="preserve"> kas kaebaja </w:t>
      </w:r>
      <w:r w:rsidR="00B56AA0">
        <w:rPr>
          <w:rFonts w:ascii="Trebuchet MS" w:hAnsi="Trebuchet MS"/>
          <w:sz w:val="20"/>
          <w:szCs w:val="20"/>
        </w:rPr>
        <w:t xml:space="preserve">mittesüüstamise privileegile </w:t>
      </w:r>
      <w:r w:rsidRPr="005F32DE">
        <w:rPr>
          <w:rFonts w:ascii="Trebuchet MS" w:hAnsi="Trebuchet MS"/>
          <w:sz w:val="20"/>
          <w:szCs w:val="20"/>
        </w:rPr>
        <w:t>tugines või mitte, on kaebajal selline õigus o</w:t>
      </w:r>
      <w:r w:rsidR="00B56AA0">
        <w:rPr>
          <w:rFonts w:ascii="Trebuchet MS" w:hAnsi="Trebuchet MS"/>
          <w:sz w:val="20"/>
          <w:szCs w:val="20"/>
        </w:rPr>
        <w:t xml:space="preserve">lemas ning õigusemõistmisel </w:t>
      </w:r>
      <w:r w:rsidRPr="005F32DE">
        <w:rPr>
          <w:rFonts w:ascii="Trebuchet MS" w:hAnsi="Trebuchet MS"/>
          <w:sz w:val="20"/>
          <w:szCs w:val="20"/>
        </w:rPr>
        <w:t xml:space="preserve">tuleks kaebaja õigustega ka arvestada. </w:t>
      </w:r>
    </w:p>
    <w:p w14:paraId="688ED3DE" w14:textId="77777777" w:rsidR="00356D4B" w:rsidRPr="005F32DE" w:rsidRDefault="00356D4B" w:rsidP="00356D4B">
      <w:pPr>
        <w:pStyle w:val="ListParagraph"/>
        <w:tabs>
          <w:tab w:val="num" w:pos="709"/>
        </w:tabs>
        <w:spacing w:line="276" w:lineRule="auto"/>
        <w:ind w:left="709" w:hanging="709"/>
        <w:contextualSpacing w:val="0"/>
        <w:rPr>
          <w:rFonts w:ascii="Trebuchet MS" w:hAnsi="Trebuchet MS"/>
          <w:sz w:val="20"/>
          <w:szCs w:val="20"/>
        </w:rPr>
      </w:pPr>
    </w:p>
    <w:p w14:paraId="4A62E136" w14:textId="7D94F1A1" w:rsidR="00356D4B" w:rsidRPr="005F32DE"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 xml:space="preserve">Lisaks pole üldiselt enese mittesüüstamise privileegi puhul sellist karmi põhistamiskohust ette nähtud, mistõttu on ka arusaamatu, millele tuginedes on </w:t>
      </w:r>
      <w:r w:rsidR="00B56AA0">
        <w:rPr>
          <w:rFonts w:ascii="Trebuchet MS" w:hAnsi="Trebuchet MS"/>
          <w:sz w:val="20"/>
          <w:szCs w:val="20"/>
        </w:rPr>
        <w:t>ringkonna</w:t>
      </w:r>
      <w:r w:rsidRPr="005F32DE">
        <w:rPr>
          <w:rFonts w:ascii="Trebuchet MS" w:hAnsi="Trebuchet MS"/>
          <w:sz w:val="20"/>
          <w:szCs w:val="20"/>
        </w:rPr>
        <w:t xml:space="preserve">kohus </w:t>
      </w:r>
      <w:r w:rsidR="00B56AA0">
        <w:rPr>
          <w:rFonts w:ascii="Trebuchet MS" w:hAnsi="Trebuchet MS"/>
          <w:sz w:val="20"/>
          <w:szCs w:val="20"/>
        </w:rPr>
        <w:t xml:space="preserve">RAB-i </w:t>
      </w:r>
      <w:r w:rsidRPr="005F32DE">
        <w:rPr>
          <w:rFonts w:ascii="Trebuchet MS" w:hAnsi="Trebuchet MS"/>
          <w:sz w:val="20"/>
          <w:szCs w:val="20"/>
        </w:rPr>
        <w:t>poolt viidatud lahendites</w:t>
      </w:r>
      <w:r w:rsidR="00B56AA0">
        <w:rPr>
          <w:rFonts w:ascii="Trebuchet MS" w:hAnsi="Trebuchet MS"/>
          <w:sz w:val="20"/>
          <w:szCs w:val="20"/>
        </w:rPr>
        <w:t>t</w:t>
      </w:r>
      <w:r w:rsidRPr="005F32DE">
        <w:rPr>
          <w:rFonts w:ascii="Trebuchet MS" w:hAnsi="Trebuchet MS"/>
          <w:sz w:val="20"/>
          <w:szCs w:val="20"/>
        </w:rPr>
        <w:t xml:space="preserve"> leidnud, et igale küsimusele ja dokumendi väljaandmisele tuleb eraldi põhistus anda vastamisest keeldumiseks. Ülemaailmselt ei näha ette sellist detailset põhistamiskohustust, vaid pigem rõhutatakse seose olemasolu tähtsust.</w:t>
      </w:r>
      <w:r w:rsidRPr="005F32DE">
        <w:rPr>
          <w:rStyle w:val="FootnoteReference"/>
          <w:rFonts w:ascii="Trebuchet MS" w:hAnsi="Trebuchet MS"/>
          <w:sz w:val="20"/>
          <w:szCs w:val="20"/>
        </w:rPr>
        <w:footnoteReference w:id="24"/>
      </w:r>
      <w:r w:rsidRPr="005F32DE">
        <w:rPr>
          <w:rFonts w:ascii="Trebuchet MS" w:hAnsi="Trebuchet MS"/>
          <w:sz w:val="20"/>
          <w:szCs w:val="20"/>
        </w:rPr>
        <w:t xml:space="preserve"> </w:t>
      </w:r>
    </w:p>
    <w:p w14:paraId="4E66AE3B" w14:textId="77777777" w:rsidR="00356D4B" w:rsidRPr="005F32DE" w:rsidRDefault="00356D4B" w:rsidP="00356D4B">
      <w:pPr>
        <w:tabs>
          <w:tab w:val="num" w:pos="709"/>
        </w:tabs>
        <w:spacing w:line="276" w:lineRule="auto"/>
        <w:ind w:left="142"/>
        <w:rPr>
          <w:szCs w:val="20"/>
          <w:lang w:val="et-EE"/>
        </w:rPr>
      </w:pPr>
    </w:p>
    <w:p w14:paraId="386F6414" w14:textId="4681EBC3" w:rsidR="00356D4B" w:rsidRPr="005F32DE" w:rsidRDefault="00356D4B" w:rsidP="002F6E44">
      <w:pPr>
        <w:pStyle w:val="ListParagraph"/>
        <w:numPr>
          <w:ilvl w:val="2"/>
          <w:numId w:val="27"/>
        </w:numPr>
        <w:spacing w:line="276" w:lineRule="auto"/>
        <w:ind w:left="709" w:hanging="709"/>
        <w:contextualSpacing w:val="0"/>
        <w:rPr>
          <w:rFonts w:ascii="Trebuchet MS" w:hAnsi="Trebuchet MS"/>
          <w:sz w:val="20"/>
          <w:szCs w:val="20"/>
        </w:rPr>
      </w:pPr>
      <w:r w:rsidRPr="005F32DE">
        <w:rPr>
          <w:rFonts w:ascii="Trebuchet MS" w:hAnsi="Trebuchet MS"/>
          <w:sz w:val="20"/>
          <w:szCs w:val="20"/>
        </w:rPr>
        <w:t>Eeltoodut arvestades leiab kaebaja, et isegi kui ta oleks käsitletav kohustatud subjektina RahaPTS tähenduses, siis riikliku järelevalve raames ei saa teda ettekirjutusega kohustada esitama ettekirjutusest nõutud teavet, kuna sellise teabe nõudmine on vastuolus nii PS § 22 lg-ga 3 kui ka EIÕK art 6 lg-tega 1 ja 2.</w:t>
      </w:r>
    </w:p>
    <w:p w14:paraId="245F1E59" w14:textId="77777777" w:rsidR="00356D4B" w:rsidRPr="005F32DE" w:rsidRDefault="00356D4B" w:rsidP="004C2C41">
      <w:pPr>
        <w:tabs>
          <w:tab w:val="left" w:pos="5670"/>
        </w:tabs>
        <w:spacing w:line="276" w:lineRule="auto"/>
        <w:rPr>
          <w:szCs w:val="20"/>
          <w:lang w:val="et-EE"/>
        </w:rPr>
      </w:pPr>
    </w:p>
    <w:p w14:paraId="547FD051" w14:textId="77777777" w:rsidR="00D306CB" w:rsidRPr="005F32DE" w:rsidRDefault="00D306CB" w:rsidP="00D306CB">
      <w:pPr>
        <w:tabs>
          <w:tab w:val="left" w:pos="5670"/>
        </w:tabs>
        <w:spacing w:line="276" w:lineRule="auto"/>
        <w:ind w:left="709" w:hanging="709"/>
        <w:jc w:val="both"/>
        <w:rPr>
          <w:b/>
          <w:szCs w:val="20"/>
          <w:lang w:val="et-EE"/>
        </w:rPr>
      </w:pPr>
    </w:p>
    <w:p w14:paraId="4667949C" w14:textId="39F72C56" w:rsidR="00D306CB" w:rsidRPr="005F32DE" w:rsidRDefault="00D306CB" w:rsidP="003808B2">
      <w:pPr>
        <w:pStyle w:val="ListParagraph"/>
        <w:numPr>
          <w:ilvl w:val="0"/>
          <w:numId w:val="27"/>
        </w:numPr>
        <w:tabs>
          <w:tab w:val="clear" w:pos="390"/>
          <w:tab w:val="num" w:pos="709"/>
          <w:tab w:val="left" w:pos="5670"/>
        </w:tabs>
        <w:spacing w:line="276" w:lineRule="auto"/>
        <w:ind w:left="709" w:hanging="709"/>
        <w:rPr>
          <w:rFonts w:ascii="Trebuchet MS" w:hAnsi="Trebuchet MS"/>
          <w:b/>
          <w:sz w:val="20"/>
          <w:szCs w:val="20"/>
        </w:rPr>
      </w:pPr>
      <w:r w:rsidRPr="005F32DE">
        <w:rPr>
          <w:rFonts w:ascii="Trebuchet MS" w:hAnsi="Trebuchet MS"/>
          <w:b/>
          <w:sz w:val="20"/>
          <w:szCs w:val="20"/>
        </w:rPr>
        <w:t>Menetluslikud küsimused ja kassaatori lõpptaotlused</w:t>
      </w:r>
    </w:p>
    <w:p w14:paraId="0EBCEEB4" w14:textId="77777777" w:rsidR="00D306CB" w:rsidRPr="005F32DE" w:rsidRDefault="00D306CB" w:rsidP="003808B2">
      <w:pPr>
        <w:tabs>
          <w:tab w:val="num" w:pos="709"/>
          <w:tab w:val="left" w:pos="5670"/>
        </w:tabs>
        <w:spacing w:line="276" w:lineRule="auto"/>
        <w:ind w:left="709" w:hanging="709"/>
        <w:jc w:val="both"/>
        <w:rPr>
          <w:szCs w:val="20"/>
          <w:lang w:val="et-EE"/>
        </w:rPr>
      </w:pPr>
    </w:p>
    <w:p w14:paraId="011E348E" w14:textId="2566884C" w:rsidR="00D306CB" w:rsidRPr="005F32DE" w:rsidRDefault="00D306CB" w:rsidP="003808B2">
      <w:pPr>
        <w:numPr>
          <w:ilvl w:val="1"/>
          <w:numId w:val="27"/>
        </w:numPr>
        <w:tabs>
          <w:tab w:val="clear" w:pos="390"/>
          <w:tab w:val="num" w:pos="709"/>
          <w:tab w:val="left" w:pos="5670"/>
        </w:tabs>
        <w:spacing w:line="276" w:lineRule="auto"/>
        <w:ind w:left="709" w:hanging="709"/>
        <w:jc w:val="both"/>
        <w:rPr>
          <w:szCs w:val="20"/>
          <w:lang w:val="et-EE"/>
        </w:rPr>
      </w:pPr>
      <w:r w:rsidRPr="005F32DE">
        <w:rPr>
          <w:szCs w:val="20"/>
          <w:lang w:val="et-EE"/>
        </w:rPr>
        <w:t>HKMS § 212 lg 1 kohaselt võib ringkonnakohtu otsuse peale esitada kassatsioonkaebuse 30 päeva jooksul arvates otsuse avalikult teatavakstegemisest. Võttes arvesse, et Tallinna Ringkonnakohtu otsus tehti avalikult teatavaks ja kassaator sai selle kätte 18.06.2015, on kassatsioonkaebus esitatud tähtaegselt.</w:t>
      </w:r>
    </w:p>
    <w:p w14:paraId="7ED2D1CC" w14:textId="77777777" w:rsidR="00D306CB" w:rsidRPr="005F32DE" w:rsidRDefault="00D306CB" w:rsidP="003808B2">
      <w:pPr>
        <w:tabs>
          <w:tab w:val="num" w:pos="709"/>
          <w:tab w:val="left" w:pos="5670"/>
        </w:tabs>
        <w:spacing w:line="276" w:lineRule="auto"/>
        <w:ind w:left="709" w:hanging="709"/>
        <w:jc w:val="both"/>
        <w:rPr>
          <w:szCs w:val="20"/>
          <w:lang w:val="et-EE"/>
        </w:rPr>
      </w:pPr>
    </w:p>
    <w:p w14:paraId="78C77160" w14:textId="77777777" w:rsidR="00D306CB" w:rsidRPr="005F32DE" w:rsidRDefault="00D306CB" w:rsidP="003808B2">
      <w:pPr>
        <w:numPr>
          <w:ilvl w:val="1"/>
          <w:numId w:val="27"/>
        </w:numPr>
        <w:tabs>
          <w:tab w:val="clear" w:pos="390"/>
          <w:tab w:val="num" w:pos="709"/>
          <w:tab w:val="left" w:pos="5670"/>
        </w:tabs>
        <w:spacing w:line="276" w:lineRule="auto"/>
        <w:ind w:left="709" w:hanging="709"/>
        <w:jc w:val="both"/>
        <w:rPr>
          <w:szCs w:val="20"/>
          <w:lang w:val="et-EE"/>
        </w:rPr>
      </w:pPr>
      <w:r w:rsidRPr="005F32DE">
        <w:rPr>
          <w:szCs w:val="20"/>
          <w:lang w:val="et-EE"/>
        </w:rPr>
        <w:t>Kassaator on nõus asja lahendamisega kirjalikus menetluses, kuid kui Riigikohus peab vajalikuks kohtuistungi pidamist, soovib kassaator sellest osa võtta oma lepingulise esindaja kaudu.</w:t>
      </w:r>
    </w:p>
    <w:p w14:paraId="16555568" w14:textId="77777777" w:rsidR="00D306CB" w:rsidRPr="005F32DE" w:rsidRDefault="00D306CB" w:rsidP="003808B2">
      <w:pPr>
        <w:tabs>
          <w:tab w:val="num" w:pos="709"/>
          <w:tab w:val="left" w:pos="5670"/>
        </w:tabs>
        <w:spacing w:line="276" w:lineRule="auto"/>
        <w:ind w:left="709" w:hanging="709"/>
        <w:jc w:val="both"/>
        <w:rPr>
          <w:szCs w:val="20"/>
          <w:lang w:val="et-EE"/>
        </w:rPr>
      </w:pPr>
    </w:p>
    <w:p w14:paraId="62BA2F0D" w14:textId="6426AEA4" w:rsidR="00D306CB" w:rsidRPr="005F32DE" w:rsidRDefault="00D306CB" w:rsidP="003808B2">
      <w:pPr>
        <w:numPr>
          <w:ilvl w:val="1"/>
          <w:numId w:val="27"/>
        </w:numPr>
        <w:tabs>
          <w:tab w:val="clear" w:pos="390"/>
          <w:tab w:val="num" w:pos="709"/>
          <w:tab w:val="left" w:pos="5670"/>
        </w:tabs>
        <w:spacing w:line="276" w:lineRule="auto"/>
        <w:ind w:left="709" w:hanging="709"/>
        <w:jc w:val="both"/>
        <w:rPr>
          <w:szCs w:val="20"/>
          <w:lang w:val="et-EE"/>
        </w:rPr>
      </w:pPr>
      <w:r w:rsidRPr="005F32DE">
        <w:rPr>
          <w:szCs w:val="20"/>
          <w:lang w:val="et-EE"/>
        </w:rPr>
        <w:t>Vastavalt HKMS § 107 lg-le 2 tasutakse kassatsioonkaebuse esitamisel kautsjonina 25 eurot. Kassaator on tasunud kautsjoni 25 eurot, mille tasumist tõendav maksekorraldus on lisatud kassatsioonkaebusele (</w:t>
      </w:r>
      <w:r w:rsidRPr="005F32DE">
        <w:rPr>
          <w:b/>
          <w:szCs w:val="20"/>
          <w:lang w:val="et-EE"/>
        </w:rPr>
        <w:t>lisa 1</w:t>
      </w:r>
      <w:r w:rsidRPr="005F32DE">
        <w:rPr>
          <w:szCs w:val="20"/>
          <w:lang w:val="et-EE"/>
        </w:rPr>
        <w:t>).</w:t>
      </w:r>
    </w:p>
    <w:p w14:paraId="1BABEF60" w14:textId="77777777" w:rsidR="00D306CB" w:rsidRPr="005F32DE" w:rsidRDefault="00D306CB" w:rsidP="00D306CB">
      <w:pPr>
        <w:tabs>
          <w:tab w:val="left" w:pos="5670"/>
        </w:tabs>
        <w:spacing w:line="276" w:lineRule="auto"/>
        <w:ind w:left="709" w:hanging="709"/>
        <w:jc w:val="both"/>
        <w:rPr>
          <w:szCs w:val="20"/>
          <w:lang w:val="et-EE"/>
        </w:rPr>
      </w:pPr>
    </w:p>
    <w:p w14:paraId="2E0AEDB3" w14:textId="447913A3" w:rsidR="00D306CB" w:rsidRPr="005F32DE" w:rsidRDefault="00D306CB" w:rsidP="003808B2">
      <w:pPr>
        <w:numPr>
          <w:ilvl w:val="1"/>
          <w:numId w:val="27"/>
        </w:numPr>
        <w:tabs>
          <w:tab w:val="clear" w:pos="390"/>
          <w:tab w:val="num" w:pos="709"/>
          <w:tab w:val="left" w:pos="5670"/>
        </w:tabs>
        <w:spacing w:line="276" w:lineRule="auto"/>
        <w:ind w:left="709" w:hanging="709"/>
        <w:jc w:val="both"/>
        <w:rPr>
          <w:szCs w:val="20"/>
          <w:lang w:val="et-EE"/>
        </w:rPr>
      </w:pPr>
      <w:r w:rsidRPr="005F32DE">
        <w:rPr>
          <w:szCs w:val="20"/>
          <w:lang w:val="et-EE"/>
        </w:rPr>
        <w:t>Lähtudes eeltoodust ning tuginedes HKMS § 108 lg-le 1 ja § 230 lg 5 p-</w:t>
      </w:r>
      <w:r w:rsidR="00330F78">
        <w:rPr>
          <w:szCs w:val="20"/>
          <w:lang w:val="et-EE"/>
        </w:rPr>
        <w:t>de</w:t>
      </w:r>
      <w:r w:rsidRPr="005F32DE">
        <w:rPr>
          <w:szCs w:val="20"/>
          <w:lang w:val="et-EE"/>
        </w:rPr>
        <w:t xml:space="preserve">le </w:t>
      </w:r>
      <w:r w:rsidR="00330F78">
        <w:rPr>
          <w:szCs w:val="20"/>
          <w:lang w:val="et-EE"/>
        </w:rPr>
        <w:t xml:space="preserve">2 ja </w:t>
      </w:r>
      <w:r w:rsidRPr="005F32DE">
        <w:rPr>
          <w:szCs w:val="20"/>
          <w:lang w:val="et-EE"/>
        </w:rPr>
        <w:t>5, kassaator</w:t>
      </w:r>
    </w:p>
    <w:p w14:paraId="744DABDD" w14:textId="77777777" w:rsidR="00D306CB" w:rsidRPr="005F32DE" w:rsidRDefault="00D306CB" w:rsidP="00D306CB">
      <w:pPr>
        <w:tabs>
          <w:tab w:val="left" w:pos="5670"/>
        </w:tabs>
        <w:spacing w:line="276" w:lineRule="auto"/>
        <w:ind w:left="709" w:hanging="709"/>
        <w:jc w:val="both"/>
        <w:rPr>
          <w:b/>
          <w:szCs w:val="20"/>
          <w:lang w:val="et-EE"/>
        </w:rPr>
      </w:pPr>
    </w:p>
    <w:p w14:paraId="62C73432" w14:textId="77777777" w:rsidR="00D306CB" w:rsidRPr="005F32DE" w:rsidRDefault="00D306CB" w:rsidP="00B7186D">
      <w:pPr>
        <w:tabs>
          <w:tab w:val="left" w:pos="5670"/>
        </w:tabs>
        <w:spacing w:line="276" w:lineRule="auto"/>
        <w:ind w:left="709" w:hanging="709"/>
        <w:jc w:val="center"/>
        <w:rPr>
          <w:b/>
          <w:szCs w:val="20"/>
          <w:lang w:val="et-EE"/>
        </w:rPr>
      </w:pPr>
      <w:r w:rsidRPr="005F32DE">
        <w:rPr>
          <w:b/>
          <w:szCs w:val="20"/>
          <w:lang w:val="et-EE"/>
        </w:rPr>
        <w:t>p a l u b:</w:t>
      </w:r>
    </w:p>
    <w:p w14:paraId="0F2A4632" w14:textId="77777777" w:rsidR="00D306CB" w:rsidRPr="005F32DE" w:rsidRDefault="00D306CB" w:rsidP="00D306CB">
      <w:pPr>
        <w:tabs>
          <w:tab w:val="left" w:pos="5670"/>
        </w:tabs>
        <w:spacing w:line="276" w:lineRule="auto"/>
        <w:rPr>
          <w:szCs w:val="20"/>
          <w:lang w:val="et-EE"/>
        </w:rPr>
      </w:pPr>
    </w:p>
    <w:p w14:paraId="63D3B272" w14:textId="73F331A6" w:rsidR="00D306CB" w:rsidRPr="005F32DE" w:rsidRDefault="00D306CB" w:rsidP="002F6E44">
      <w:pPr>
        <w:numPr>
          <w:ilvl w:val="2"/>
          <w:numId w:val="27"/>
        </w:numPr>
        <w:tabs>
          <w:tab w:val="left" w:pos="5670"/>
        </w:tabs>
        <w:spacing w:line="276" w:lineRule="auto"/>
        <w:ind w:left="709" w:hanging="709"/>
        <w:jc w:val="both"/>
        <w:rPr>
          <w:b/>
          <w:szCs w:val="20"/>
          <w:lang w:val="et-EE"/>
        </w:rPr>
      </w:pPr>
      <w:r w:rsidRPr="005F32DE">
        <w:rPr>
          <w:b/>
          <w:szCs w:val="20"/>
          <w:lang w:val="et-EE"/>
        </w:rPr>
        <w:t xml:space="preserve">võtta </w:t>
      </w:r>
      <w:r w:rsidR="00B7186D" w:rsidRPr="005F32DE">
        <w:rPr>
          <w:b/>
          <w:szCs w:val="20"/>
          <w:lang w:val="et-EE"/>
        </w:rPr>
        <w:t xml:space="preserve">Otto </w:t>
      </w:r>
      <w:r w:rsidR="00330F78">
        <w:rPr>
          <w:b/>
          <w:szCs w:val="20"/>
          <w:lang w:val="et-EE"/>
        </w:rPr>
        <w:t xml:space="preserve">Albert </w:t>
      </w:r>
      <w:r w:rsidR="00B7186D" w:rsidRPr="005F32DE">
        <w:rPr>
          <w:b/>
          <w:szCs w:val="20"/>
          <w:lang w:val="et-EE"/>
        </w:rPr>
        <w:t xml:space="preserve">de Voogd’i </w:t>
      </w:r>
      <w:r w:rsidRPr="005F32DE">
        <w:rPr>
          <w:b/>
          <w:szCs w:val="20"/>
          <w:lang w:val="et-EE"/>
        </w:rPr>
        <w:t>kassatsioonkaebus menetlusse;</w:t>
      </w:r>
    </w:p>
    <w:p w14:paraId="4B71A7CA" w14:textId="77777777" w:rsidR="00D306CB" w:rsidRPr="005F32DE" w:rsidRDefault="00D306CB" w:rsidP="00E735E3">
      <w:pPr>
        <w:tabs>
          <w:tab w:val="num" w:pos="709"/>
          <w:tab w:val="left" w:pos="5670"/>
        </w:tabs>
        <w:spacing w:line="276" w:lineRule="auto"/>
        <w:ind w:left="709" w:hanging="709"/>
        <w:jc w:val="both"/>
        <w:rPr>
          <w:b/>
          <w:szCs w:val="20"/>
          <w:lang w:val="et-EE"/>
        </w:rPr>
      </w:pPr>
    </w:p>
    <w:p w14:paraId="623ECB32" w14:textId="53C49A8D" w:rsidR="00D306CB" w:rsidRPr="005F32DE" w:rsidRDefault="00D306CB" w:rsidP="002F6E44">
      <w:pPr>
        <w:numPr>
          <w:ilvl w:val="2"/>
          <w:numId w:val="27"/>
        </w:numPr>
        <w:tabs>
          <w:tab w:val="left" w:pos="5670"/>
        </w:tabs>
        <w:spacing w:line="276" w:lineRule="auto"/>
        <w:ind w:left="709" w:hanging="709"/>
        <w:jc w:val="both"/>
        <w:rPr>
          <w:b/>
          <w:szCs w:val="20"/>
          <w:lang w:val="et-EE"/>
        </w:rPr>
      </w:pPr>
      <w:r w:rsidRPr="005F32DE">
        <w:rPr>
          <w:b/>
          <w:szCs w:val="20"/>
          <w:lang w:val="et-EE"/>
        </w:rPr>
        <w:t>rahuldada</w:t>
      </w:r>
      <w:r w:rsidR="00B7186D" w:rsidRPr="005F32DE">
        <w:rPr>
          <w:b/>
          <w:szCs w:val="20"/>
          <w:lang w:val="et-EE"/>
        </w:rPr>
        <w:t xml:space="preserve"> Otto </w:t>
      </w:r>
      <w:r w:rsidR="00330F78">
        <w:rPr>
          <w:b/>
          <w:szCs w:val="20"/>
          <w:lang w:val="et-EE"/>
        </w:rPr>
        <w:t xml:space="preserve">Albert </w:t>
      </w:r>
      <w:r w:rsidR="00B7186D" w:rsidRPr="005F32DE">
        <w:rPr>
          <w:b/>
          <w:szCs w:val="20"/>
          <w:lang w:val="et-EE"/>
        </w:rPr>
        <w:t>de Voogd</w:t>
      </w:r>
      <w:r w:rsidRPr="005F32DE">
        <w:rPr>
          <w:b/>
          <w:szCs w:val="20"/>
          <w:lang w:val="et-EE"/>
        </w:rPr>
        <w:t>’i</w:t>
      </w:r>
      <w:r w:rsidR="00B7186D" w:rsidRPr="005F32DE">
        <w:rPr>
          <w:b/>
          <w:szCs w:val="20"/>
          <w:lang w:val="et-EE"/>
        </w:rPr>
        <w:t xml:space="preserve"> </w:t>
      </w:r>
      <w:r w:rsidRPr="005F32DE">
        <w:rPr>
          <w:b/>
          <w:szCs w:val="20"/>
          <w:lang w:val="et-EE"/>
        </w:rPr>
        <w:t>kassatsioonkaebus;</w:t>
      </w:r>
    </w:p>
    <w:p w14:paraId="1E061CB3" w14:textId="77777777" w:rsidR="00D306CB" w:rsidRPr="005F32DE" w:rsidRDefault="00D306CB" w:rsidP="00E735E3">
      <w:pPr>
        <w:tabs>
          <w:tab w:val="num" w:pos="709"/>
          <w:tab w:val="left" w:pos="5670"/>
        </w:tabs>
        <w:spacing w:line="276" w:lineRule="auto"/>
        <w:ind w:left="709" w:hanging="709"/>
        <w:jc w:val="both"/>
        <w:rPr>
          <w:b/>
          <w:szCs w:val="20"/>
          <w:lang w:val="et-EE"/>
        </w:rPr>
      </w:pPr>
    </w:p>
    <w:p w14:paraId="6B87C934" w14:textId="5721C61F" w:rsidR="00D306CB" w:rsidRPr="005F32DE" w:rsidRDefault="00E735E3" w:rsidP="002F6E44">
      <w:pPr>
        <w:numPr>
          <w:ilvl w:val="2"/>
          <w:numId w:val="27"/>
        </w:numPr>
        <w:tabs>
          <w:tab w:val="left" w:pos="5670"/>
        </w:tabs>
        <w:spacing w:line="276" w:lineRule="auto"/>
        <w:ind w:left="709" w:hanging="709"/>
        <w:jc w:val="both"/>
        <w:rPr>
          <w:b/>
          <w:szCs w:val="20"/>
          <w:lang w:val="et-EE"/>
        </w:rPr>
      </w:pPr>
      <w:r w:rsidRPr="005F32DE">
        <w:rPr>
          <w:b/>
          <w:szCs w:val="20"/>
          <w:lang w:val="et-EE"/>
        </w:rPr>
        <w:t>tühistada Tallinna Halduskohtu 18.11.2014 ja Tallinna Ringkonnakohtu 18.06</w:t>
      </w:r>
      <w:r w:rsidR="00D306CB" w:rsidRPr="005F32DE">
        <w:rPr>
          <w:b/>
          <w:szCs w:val="20"/>
          <w:lang w:val="et-EE"/>
        </w:rPr>
        <w:t xml:space="preserve">.2015 kohtuotsused </w:t>
      </w:r>
      <w:r w:rsidR="00AD0701">
        <w:rPr>
          <w:b/>
          <w:szCs w:val="20"/>
          <w:lang w:val="et-EE"/>
        </w:rPr>
        <w:t xml:space="preserve">haldusasjas nr 3-14-50581 </w:t>
      </w:r>
      <w:r w:rsidR="00D306CB" w:rsidRPr="005F32DE">
        <w:rPr>
          <w:b/>
          <w:szCs w:val="20"/>
          <w:lang w:val="et-EE"/>
        </w:rPr>
        <w:t>täies ulatuses ning teha uus otsus as</w:t>
      </w:r>
      <w:r w:rsidR="00AD0701">
        <w:rPr>
          <w:b/>
          <w:szCs w:val="20"/>
          <w:lang w:val="et-EE"/>
        </w:rPr>
        <w:t>ja uueks arutamiseks saatmata, millega</w:t>
      </w:r>
      <w:r w:rsidR="00D306CB" w:rsidRPr="005F32DE">
        <w:rPr>
          <w:b/>
          <w:szCs w:val="20"/>
          <w:lang w:val="et-EE"/>
        </w:rPr>
        <w:t xml:space="preserve"> tühistada </w:t>
      </w:r>
      <w:r w:rsidRPr="005F32DE">
        <w:rPr>
          <w:b/>
          <w:bCs/>
          <w:szCs w:val="20"/>
          <w:lang w:val="et-EE"/>
        </w:rPr>
        <w:t>Politsei- ja Piirivalveameti keskkriminaalpolitsei rahapesu andmebüroo 24.03.2014 ettekirjutus nr 1-9/1011</w:t>
      </w:r>
      <w:r w:rsidR="00D306CB" w:rsidRPr="005F32DE">
        <w:rPr>
          <w:b/>
          <w:szCs w:val="20"/>
          <w:lang w:val="et-EE"/>
        </w:rPr>
        <w:t>;</w:t>
      </w:r>
    </w:p>
    <w:p w14:paraId="533EC959" w14:textId="77777777" w:rsidR="00D306CB" w:rsidRPr="005F32DE" w:rsidRDefault="00D306CB" w:rsidP="00E735E3">
      <w:pPr>
        <w:tabs>
          <w:tab w:val="num" w:pos="709"/>
          <w:tab w:val="left" w:pos="5670"/>
        </w:tabs>
        <w:spacing w:line="276" w:lineRule="auto"/>
        <w:ind w:left="709" w:hanging="709"/>
        <w:jc w:val="both"/>
        <w:rPr>
          <w:b/>
          <w:szCs w:val="20"/>
          <w:lang w:val="et-EE"/>
        </w:rPr>
      </w:pPr>
    </w:p>
    <w:p w14:paraId="2ABF461B" w14:textId="2EC2E85A" w:rsidR="00D306CB" w:rsidRPr="005F32DE" w:rsidRDefault="0085090C" w:rsidP="002F6E44">
      <w:pPr>
        <w:numPr>
          <w:ilvl w:val="2"/>
          <w:numId w:val="27"/>
        </w:numPr>
        <w:tabs>
          <w:tab w:val="left" w:pos="5670"/>
        </w:tabs>
        <w:spacing w:line="276" w:lineRule="auto"/>
        <w:ind w:left="709" w:hanging="709"/>
        <w:jc w:val="both"/>
        <w:rPr>
          <w:b/>
          <w:szCs w:val="20"/>
          <w:lang w:val="et-EE"/>
        </w:rPr>
      </w:pPr>
      <w:r>
        <w:rPr>
          <w:b/>
          <w:szCs w:val="20"/>
          <w:lang w:val="et-EE"/>
        </w:rPr>
        <w:t xml:space="preserve">alternatiivselt, </w:t>
      </w:r>
      <w:r w:rsidR="00D306CB" w:rsidRPr="005F32DE">
        <w:rPr>
          <w:b/>
          <w:szCs w:val="20"/>
          <w:lang w:val="et-EE"/>
        </w:rPr>
        <w:t>kui Riigikohus ei pea uue otsuse tegemist võimalikuks, sest asja lahendamiseks tuleb hinnata tõendeid ja tuvastada faktilisi asjaolusid</w:t>
      </w:r>
      <w:r w:rsidR="00E735E3" w:rsidRPr="005F32DE">
        <w:rPr>
          <w:b/>
          <w:szCs w:val="20"/>
          <w:lang w:val="et-EE"/>
        </w:rPr>
        <w:t>, tühistada Tallinna</w:t>
      </w:r>
      <w:r w:rsidR="00D306CB" w:rsidRPr="005F32DE">
        <w:rPr>
          <w:b/>
          <w:szCs w:val="20"/>
          <w:lang w:val="et-EE"/>
        </w:rPr>
        <w:t xml:space="preserve"> R</w:t>
      </w:r>
      <w:r w:rsidR="00E735E3" w:rsidRPr="005F32DE">
        <w:rPr>
          <w:b/>
          <w:szCs w:val="20"/>
          <w:lang w:val="et-EE"/>
        </w:rPr>
        <w:t>ingkonnakohtu 18.06</w:t>
      </w:r>
      <w:r w:rsidR="00D306CB" w:rsidRPr="005F32DE">
        <w:rPr>
          <w:b/>
          <w:szCs w:val="20"/>
          <w:lang w:val="et-EE"/>
        </w:rPr>
        <w:t xml:space="preserve">.2015 </w:t>
      </w:r>
      <w:r>
        <w:rPr>
          <w:b/>
          <w:szCs w:val="20"/>
          <w:lang w:val="et-EE"/>
        </w:rPr>
        <w:t>kohtu</w:t>
      </w:r>
      <w:r w:rsidR="00D306CB" w:rsidRPr="005F32DE">
        <w:rPr>
          <w:b/>
          <w:szCs w:val="20"/>
          <w:lang w:val="et-EE"/>
        </w:rPr>
        <w:t xml:space="preserve">otsus täies ulatuses ja saata asi uueks läbivaatamiseks </w:t>
      </w:r>
      <w:r w:rsidR="00E735E3" w:rsidRPr="005F32DE">
        <w:rPr>
          <w:b/>
          <w:szCs w:val="20"/>
          <w:lang w:val="et-EE"/>
        </w:rPr>
        <w:t>Tallinna</w:t>
      </w:r>
      <w:r w:rsidR="00D306CB" w:rsidRPr="005F32DE">
        <w:rPr>
          <w:b/>
          <w:szCs w:val="20"/>
          <w:lang w:val="et-EE"/>
        </w:rPr>
        <w:t xml:space="preserve"> Ringkonnakohtule;</w:t>
      </w:r>
    </w:p>
    <w:p w14:paraId="06F14D6F" w14:textId="77777777" w:rsidR="00D306CB" w:rsidRPr="005F32DE" w:rsidRDefault="00D306CB" w:rsidP="00E735E3">
      <w:pPr>
        <w:tabs>
          <w:tab w:val="num" w:pos="709"/>
          <w:tab w:val="left" w:pos="5670"/>
        </w:tabs>
        <w:spacing w:line="276" w:lineRule="auto"/>
        <w:ind w:left="709" w:hanging="709"/>
        <w:jc w:val="both"/>
        <w:rPr>
          <w:b/>
          <w:szCs w:val="20"/>
          <w:lang w:val="et-EE"/>
        </w:rPr>
      </w:pPr>
    </w:p>
    <w:p w14:paraId="723443B5" w14:textId="3869E6C5" w:rsidR="00D306CB" w:rsidRPr="005F32DE" w:rsidRDefault="00D306CB" w:rsidP="002F6E44">
      <w:pPr>
        <w:numPr>
          <w:ilvl w:val="2"/>
          <w:numId w:val="27"/>
        </w:numPr>
        <w:tabs>
          <w:tab w:val="left" w:pos="5670"/>
        </w:tabs>
        <w:spacing w:line="276" w:lineRule="auto"/>
        <w:ind w:left="709" w:hanging="709"/>
        <w:jc w:val="both"/>
        <w:rPr>
          <w:b/>
          <w:szCs w:val="20"/>
          <w:lang w:val="et-EE"/>
        </w:rPr>
      </w:pPr>
      <w:r w:rsidRPr="005F32DE">
        <w:rPr>
          <w:b/>
          <w:szCs w:val="20"/>
          <w:lang w:val="et-EE"/>
        </w:rPr>
        <w:t xml:space="preserve">mõista </w:t>
      </w:r>
      <w:r w:rsidR="00E735E3" w:rsidRPr="005F32DE">
        <w:rPr>
          <w:b/>
          <w:szCs w:val="20"/>
          <w:lang w:val="et-EE"/>
        </w:rPr>
        <w:t xml:space="preserve">Politsei- ja Piirivalveameti keskkriminaalpolitsei rahapesu andmebüroolt </w:t>
      </w:r>
      <w:r w:rsidR="008A7FDD" w:rsidRPr="005F32DE">
        <w:rPr>
          <w:b/>
          <w:szCs w:val="20"/>
          <w:lang w:val="et-EE"/>
        </w:rPr>
        <w:t xml:space="preserve">Otto </w:t>
      </w:r>
      <w:r w:rsidR="00330F78">
        <w:rPr>
          <w:b/>
          <w:szCs w:val="20"/>
          <w:lang w:val="et-EE"/>
        </w:rPr>
        <w:t xml:space="preserve">Albert </w:t>
      </w:r>
      <w:r w:rsidR="008A7FDD" w:rsidRPr="005F32DE">
        <w:rPr>
          <w:b/>
          <w:szCs w:val="20"/>
          <w:lang w:val="et-EE"/>
        </w:rPr>
        <w:t>de Voogd</w:t>
      </w:r>
      <w:r w:rsidRPr="005F32DE">
        <w:rPr>
          <w:b/>
          <w:szCs w:val="20"/>
          <w:lang w:val="et-EE"/>
        </w:rPr>
        <w:t xml:space="preserve">’i kasuks </w:t>
      </w:r>
      <w:r w:rsidR="00E735E3" w:rsidRPr="005F32DE">
        <w:rPr>
          <w:b/>
          <w:szCs w:val="20"/>
          <w:lang w:val="et-EE"/>
        </w:rPr>
        <w:t xml:space="preserve">välja </w:t>
      </w:r>
      <w:r w:rsidRPr="005F32DE">
        <w:rPr>
          <w:b/>
          <w:szCs w:val="20"/>
          <w:lang w:val="et-EE"/>
        </w:rPr>
        <w:t>menetluskulud (kassatsiooniastme menetluskulude nimekiri koos kuludokumentidega esitatakse menetluse käigus);</w:t>
      </w:r>
    </w:p>
    <w:p w14:paraId="5A167349" w14:textId="77777777" w:rsidR="00D306CB" w:rsidRPr="005F32DE" w:rsidRDefault="00D306CB" w:rsidP="00E735E3">
      <w:pPr>
        <w:tabs>
          <w:tab w:val="num" w:pos="709"/>
          <w:tab w:val="left" w:pos="5670"/>
        </w:tabs>
        <w:spacing w:line="276" w:lineRule="auto"/>
        <w:ind w:left="709" w:hanging="709"/>
        <w:jc w:val="both"/>
        <w:rPr>
          <w:b/>
          <w:szCs w:val="20"/>
          <w:lang w:val="et-EE"/>
        </w:rPr>
      </w:pPr>
    </w:p>
    <w:p w14:paraId="686D703B" w14:textId="0009DF5F" w:rsidR="00D306CB" w:rsidRPr="005F32DE" w:rsidRDefault="00D306CB" w:rsidP="002F6E44">
      <w:pPr>
        <w:numPr>
          <w:ilvl w:val="2"/>
          <w:numId w:val="27"/>
        </w:numPr>
        <w:tabs>
          <w:tab w:val="left" w:pos="5670"/>
        </w:tabs>
        <w:spacing w:line="276" w:lineRule="auto"/>
        <w:ind w:left="709" w:hanging="709"/>
        <w:jc w:val="both"/>
        <w:rPr>
          <w:b/>
          <w:szCs w:val="20"/>
          <w:lang w:val="et-EE"/>
        </w:rPr>
      </w:pPr>
      <w:r w:rsidRPr="005F32DE">
        <w:rPr>
          <w:b/>
          <w:szCs w:val="20"/>
          <w:lang w:val="et-EE"/>
        </w:rPr>
        <w:t>tagastada kautsjon Advokaadibüroo GLIMSTEDT OÜ-le (arveldusarve EE951700017000681438, Nordea Bank Finland Plc Eesti filiaal).</w:t>
      </w:r>
    </w:p>
    <w:p w14:paraId="4977670B" w14:textId="77777777" w:rsidR="00D306CB" w:rsidRPr="005F32DE" w:rsidRDefault="00D306CB" w:rsidP="00D306CB">
      <w:pPr>
        <w:tabs>
          <w:tab w:val="left" w:pos="5670"/>
        </w:tabs>
        <w:spacing w:line="276" w:lineRule="auto"/>
        <w:rPr>
          <w:szCs w:val="20"/>
          <w:lang w:val="et-EE"/>
        </w:rPr>
      </w:pPr>
    </w:p>
    <w:p w14:paraId="04B8E226" w14:textId="77777777" w:rsidR="00D306CB" w:rsidRPr="005F32DE" w:rsidRDefault="00D306CB" w:rsidP="00D306CB">
      <w:pPr>
        <w:tabs>
          <w:tab w:val="left" w:pos="5670"/>
        </w:tabs>
        <w:spacing w:line="276" w:lineRule="auto"/>
        <w:rPr>
          <w:szCs w:val="20"/>
          <w:lang w:val="et-EE"/>
        </w:rPr>
      </w:pPr>
      <w:r w:rsidRPr="005F32DE">
        <w:rPr>
          <w:szCs w:val="20"/>
          <w:lang w:val="et-EE"/>
        </w:rPr>
        <w:t>Lisad:</w:t>
      </w:r>
    </w:p>
    <w:p w14:paraId="43C8746A" w14:textId="77777777" w:rsidR="00D306CB" w:rsidRPr="005F32DE" w:rsidRDefault="00D306CB" w:rsidP="00B7186D">
      <w:pPr>
        <w:numPr>
          <w:ilvl w:val="0"/>
          <w:numId w:val="32"/>
        </w:numPr>
        <w:tabs>
          <w:tab w:val="left" w:pos="5670"/>
        </w:tabs>
        <w:spacing w:line="276" w:lineRule="auto"/>
        <w:ind w:hanging="720"/>
        <w:rPr>
          <w:szCs w:val="20"/>
          <w:lang w:val="et-EE"/>
        </w:rPr>
      </w:pPr>
      <w:r w:rsidRPr="005F32DE">
        <w:rPr>
          <w:szCs w:val="20"/>
          <w:lang w:val="et-EE"/>
        </w:rPr>
        <w:t>kautsjoni tasumist tõendav maksekorraldus.</w:t>
      </w:r>
    </w:p>
    <w:p w14:paraId="57F105FE" w14:textId="77777777" w:rsidR="00D306CB" w:rsidRPr="005F32DE" w:rsidRDefault="00D306CB" w:rsidP="004C2C41">
      <w:pPr>
        <w:tabs>
          <w:tab w:val="left" w:pos="5670"/>
        </w:tabs>
        <w:spacing w:line="276" w:lineRule="auto"/>
        <w:rPr>
          <w:szCs w:val="20"/>
          <w:lang w:val="et-EE"/>
        </w:rPr>
      </w:pPr>
    </w:p>
    <w:p w14:paraId="7C78F590" w14:textId="77777777" w:rsidR="00BB36F2" w:rsidRPr="005F32DE" w:rsidRDefault="00BB36F2" w:rsidP="004C2C41">
      <w:pPr>
        <w:tabs>
          <w:tab w:val="left" w:pos="5670"/>
        </w:tabs>
        <w:spacing w:line="276" w:lineRule="auto"/>
        <w:rPr>
          <w:szCs w:val="20"/>
          <w:lang w:val="et-EE"/>
        </w:rPr>
      </w:pPr>
      <w:r w:rsidRPr="005F32DE">
        <w:rPr>
          <w:szCs w:val="20"/>
          <w:lang w:val="et-EE"/>
        </w:rPr>
        <w:t>Austusega</w:t>
      </w:r>
    </w:p>
    <w:p w14:paraId="47719B82" w14:textId="77777777" w:rsidR="00BB36F2" w:rsidRPr="005F32DE" w:rsidRDefault="00BB36F2" w:rsidP="004C2C41">
      <w:pPr>
        <w:tabs>
          <w:tab w:val="left" w:pos="3402"/>
          <w:tab w:val="left" w:pos="5670"/>
          <w:tab w:val="left" w:pos="6237"/>
        </w:tabs>
        <w:spacing w:line="276" w:lineRule="auto"/>
        <w:rPr>
          <w:szCs w:val="20"/>
          <w:lang w:val="et-EE"/>
        </w:rPr>
      </w:pPr>
    </w:p>
    <w:p w14:paraId="6C67B05A" w14:textId="77777777" w:rsidR="00BB36F2" w:rsidRPr="005F32DE" w:rsidRDefault="00BB36F2" w:rsidP="004C2C41">
      <w:pPr>
        <w:tabs>
          <w:tab w:val="left" w:pos="3402"/>
          <w:tab w:val="left" w:pos="5670"/>
          <w:tab w:val="left" w:pos="6237"/>
        </w:tabs>
        <w:spacing w:line="276" w:lineRule="auto"/>
        <w:rPr>
          <w:szCs w:val="20"/>
          <w:lang w:val="et-EE"/>
        </w:rPr>
      </w:pPr>
      <w:r w:rsidRPr="005F32DE">
        <w:rPr>
          <w:szCs w:val="20"/>
          <w:lang w:val="et-EE"/>
        </w:rPr>
        <w:t>/</w:t>
      </w:r>
      <w:r w:rsidRPr="005F32DE">
        <w:rPr>
          <w:i/>
          <w:szCs w:val="20"/>
          <w:lang w:val="et-EE"/>
        </w:rPr>
        <w:t>allkirjastatud digitaalselt</w:t>
      </w:r>
      <w:r w:rsidRPr="005F32DE">
        <w:rPr>
          <w:szCs w:val="20"/>
          <w:lang w:val="et-EE"/>
        </w:rPr>
        <w:t>/</w:t>
      </w:r>
    </w:p>
    <w:p w14:paraId="60E55CA3" w14:textId="77777777" w:rsidR="00BB36F2" w:rsidRPr="005F32DE" w:rsidRDefault="00BB36F2" w:rsidP="004C2C41">
      <w:pPr>
        <w:tabs>
          <w:tab w:val="left" w:pos="3402"/>
          <w:tab w:val="left" w:pos="5670"/>
          <w:tab w:val="left" w:pos="6237"/>
        </w:tabs>
        <w:spacing w:line="276" w:lineRule="auto"/>
        <w:rPr>
          <w:szCs w:val="20"/>
          <w:lang w:val="et-EE"/>
        </w:rPr>
      </w:pPr>
    </w:p>
    <w:p w14:paraId="5A1FC170" w14:textId="77777777" w:rsidR="00BB36F2" w:rsidRPr="005F32DE" w:rsidRDefault="00BB36F2" w:rsidP="004C2C41">
      <w:pPr>
        <w:tabs>
          <w:tab w:val="left" w:pos="3402"/>
          <w:tab w:val="left" w:pos="5670"/>
          <w:tab w:val="left" w:pos="6237"/>
        </w:tabs>
        <w:spacing w:line="276" w:lineRule="auto"/>
        <w:rPr>
          <w:szCs w:val="20"/>
          <w:lang w:val="et-EE"/>
        </w:rPr>
      </w:pPr>
      <w:r w:rsidRPr="005F32DE">
        <w:rPr>
          <w:szCs w:val="20"/>
          <w:lang w:val="et-EE"/>
        </w:rPr>
        <w:t>Priit Lätt</w:t>
      </w:r>
    </w:p>
    <w:p w14:paraId="0F4CD8EE" w14:textId="77777777" w:rsidR="00BB36F2" w:rsidRPr="005F32DE" w:rsidRDefault="00BB36F2" w:rsidP="004C2C41">
      <w:pPr>
        <w:tabs>
          <w:tab w:val="left" w:pos="3402"/>
          <w:tab w:val="left" w:pos="5670"/>
          <w:tab w:val="left" w:pos="6237"/>
        </w:tabs>
        <w:spacing w:line="276" w:lineRule="auto"/>
        <w:rPr>
          <w:szCs w:val="20"/>
          <w:lang w:val="et-EE"/>
        </w:rPr>
      </w:pPr>
      <w:r w:rsidRPr="005F32DE">
        <w:rPr>
          <w:szCs w:val="20"/>
          <w:lang w:val="et-EE"/>
        </w:rPr>
        <w:t>Vandeadvokaat</w:t>
      </w:r>
    </w:p>
    <w:p w14:paraId="122AE3E0" w14:textId="77777777" w:rsidR="00BB36F2" w:rsidRPr="005F32DE" w:rsidRDefault="00BB36F2" w:rsidP="004C2C41">
      <w:pPr>
        <w:tabs>
          <w:tab w:val="left" w:pos="9781"/>
        </w:tabs>
        <w:spacing w:line="276" w:lineRule="auto"/>
        <w:ind w:left="357" w:hanging="357"/>
        <w:jc w:val="both"/>
        <w:rPr>
          <w:bCs/>
          <w:szCs w:val="20"/>
          <w:lang w:val="et-EE"/>
        </w:rPr>
      </w:pPr>
      <w:r w:rsidRPr="005F32DE">
        <w:rPr>
          <w:szCs w:val="20"/>
          <w:lang w:val="et-EE"/>
        </w:rPr>
        <w:t>Kaebaja lepinguline</w:t>
      </w:r>
      <w:r w:rsidRPr="005F32DE">
        <w:rPr>
          <w:bCs/>
          <w:szCs w:val="20"/>
          <w:lang w:val="et-EE"/>
        </w:rPr>
        <w:t xml:space="preserve"> </w:t>
      </w:r>
      <w:r w:rsidRPr="005F32DE">
        <w:rPr>
          <w:szCs w:val="20"/>
          <w:lang w:val="et-EE"/>
        </w:rPr>
        <w:t>esindaja</w:t>
      </w:r>
    </w:p>
    <w:p w14:paraId="7E0DBC1A" w14:textId="77777777" w:rsidR="00BB36F2" w:rsidRPr="005F32DE" w:rsidRDefault="00BB36F2" w:rsidP="004C2C41">
      <w:pPr>
        <w:autoSpaceDE w:val="0"/>
        <w:autoSpaceDN w:val="0"/>
        <w:adjustRightInd w:val="0"/>
        <w:spacing w:line="276" w:lineRule="auto"/>
        <w:rPr>
          <w:bCs/>
          <w:szCs w:val="20"/>
          <w:lang w:val="et-EE"/>
        </w:rPr>
      </w:pPr>
    </w:p>
    <w:sectPr w:rsidR="00BB36F2" w:rsidRPr="005F32DE" w:rsidSect="0015236C">
      <w:footerReference w:type="default" r:id="rId22"/>
      <w:headerReference w:type="first" r:id="rId23"/>
      <w:footerReference w:type="first" r:id="rId24"/>
      <w:pgSz w:w="11906" w:h="16838" w:code="9"/>
      <w:pgMar w:top="1134" w:right="709" w:bottom="1134" w:left="1247"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C83DA" w14:textId="77777777" w:rsidR="00863463" w:rsidRDefault="00863463" w:rsidP="00077B20">
      <w:r>
        <w:separator/>
      </w:r>
    </w:p>
  </w:endnote>
  <w:endnote w:type="continuationSeparator" w:id="0">
    <w:p w14:paraId="2AEC83DB" w14:textId="77777777" w:rsidR="00863463" w:rsidRDefault="00863463" w:rsidP="0007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62606"/>
      <w:docPartObj>
        <w:docPartGallery w:val="Page Numbers (Bottom of Page)"/>
        <w:docPartUnique/>
      </w:docPartObj>
    </w:sdtPr>
    <w:sdtEndPr/>
    <w:sdtContent>
      <w:p w14:paraId="2AEC83DC" w14:textId="77777777" w:rsidR="00863463" w:rsidRDefault="00863463">
        <w:pPr>
          <w:pStyle w:val="Footer"/>
          <w:jc w:val="right"/>
        </w:pPr>
        <w:r>
          <w:fldChar w:fldCharType="begin"/>
        </w:r>
        <w:r>
          <w:instrText>PAGE   \* MERGEFORMAT</w:instrText>
        </w:r>
        <w:r>
          <w:fldChar w:fldCharType="separate"/>
        </w:r>
        <w:r w:rsidR="00677090">
          <w:rPr>
            <w:noProof/>
          </w:rPr>
          <w:t>11</w:t>
        </w:r>
        <w:r>
          <w:rPr>
            <w:noProof/>
          </w:rPr>
          <w:fldChar w:fldCharType="end"/>
        </w:r>
      </w:p>
    </w:sdtContent>
  </w:sdt>
  <w:p w14:paraId="2AEC83DD" w14:textId="77777777" w:rsidR="00863463" w:rsidRDefault="00863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83E1" w14:textId="77777777" w:rsidR="00863463" w:rsidRDefault="00863463" w:rsidP="003372BD">
    <w:pPr>
      <w:pStyle w:val="Footer"/>
      <w:ind w:left="-1247"/>
    </w:pPr>
    <w:r>
      <w:rPr>
        <w:noProof/>
        <w:lang w:val="et-EE" w:eastAsia="et-EE"/>
      </w:rPr>
      <w:drawing>
        <wp:anchor distT="0" distB="0" distL="114300" distR="114300" simplePos="0" relativeHeight="251663360" behindDoc="0" locked="1" layoutInCell="1" allowOverlap="1" wp14:anchorId="2AEC83E4" wp14:editId="2AEC83E5">
          <wp:simplePos x="0" y="0"/>
          <wp:positionH relativeFrom="page">
            <wp:posOffset>0</wp:posOffset>
          </wp:positionH>
          <wp:positionV relativeFrom="page">
            <wp:posOffset>9846945</wp:posOffset>
          </wp:positionV>
          <wp:extent cx="7563600" cy="849600"/>
          <wp:effectExtent l="0" t="0" r="0" b="0"/>
          <wp:wrapSquare wrapText="bothSides"/>
          <wp:docPr id="5" name="Picture 5" descr="C:\Users\Mazeikaite\Desktop\Blankai NEW\EE\EE E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eikaite\Desktop\Blankai NEW\EE\EE EE bott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849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C83D8" w14:textId="77777777" w:rsidR="00863463" w:rsidRDefault="00863463" w:rsidP="00077B20">
      <w:r>
        <w:separator/>
      </w:r>
    </w:p>
  </w:footnote>
  <w:footnote w:type="continuationSeparator" w:id="0">
    <w:p w14:paraId="2AEC83D9" w14:textId="77777777" w:rsidR="00863463" w:rsidRDefault="00863463" w:rsidP="00077B20">
      <w:r>
        <w:continuationSeparator/>
      </w:r>
    </w:p>
  </w:footnote>
  <w:footnote w:id="1">
    <w:p w14:paraId="1D3FE6EA" w14:textId="06B9BF21" w:rsidR="00863463" w:rsidRPr="00F25147" w:rsidRDefault="00863463" w:rsidP="00F25147">
      <w:pPr>
        <w:pStyle w:val="FootnoteText"/>
        <w:jc w:val="both"/>
        <w:rPr>
          <w:lang w:val="et-EE"/>
        </w:rPr>
      </w:pPr>
      <w:r>
        <w:rPr>
          <w:rStyle w:val="FootnoteReference"/>
        </w:rPr>
        <w:footnoteRef/>
      </w:r>
      <w:r>
        <w:t xml:space="preserve"> </w:t>
      </w:r>
      <w:r w:rsidRPr="00F25147">
        <w:rPr>
          <w:bCs/>
          <w:lang w:val="et-EE"/>
        </w:rPr>
        <w:t xml:space="preserve">Kaebaja on korduvalt viidanud III direktiivi art 4 lg-le 2, mis sätestab: </w:t>
      </w:r>
      <w:r w:rsidRPr="00F25147">
        <w:rPr>
          <w:bCs/>
          <w:i/>
          <w:lang w:val="et-EE"/>
        </w:rPr>
        <w:t>Kui liikmesriik otsustab laiendada käesoleva direktiivi sätteid artikli 2 lõikes 1 nimetamata elukutsetele ja ettevõtjate kategooriatele, siis teatab ta sellest komisjonile</w:t>
      </w:r>
      <w:r w:rsidRPr="00F25147">
        <w:rPr>
          <w:bCs/>
          <w:lang w:val="et-EE"/>
        </w:rPr>
        <w:t>, ning väitnud, et Eesti Vabariik ei ole teavitanud Euroopa Komisjoni III direktiivi sätete laiendamisest alternatiivse maksevahendi teenuse pakkujatele, rikkudes III direktiivi art 4 lg 2 teavitamiskohustust (mida ei tohi segi ajada art-s 45 kirjeldatud üldise teavitamiskohustusega).</w:t>
      </w:r>
    </w:p>
  </w:footnote>
  <w:footnote w:id="2">
    <w:p w14:paraId="615115A9" w14:textId="24D5E814" w:rsidR="00863463" w:rsidRPr="00C95BEE" w:rsidRDefault="00863463" w:rsidP="00B83F9B">
      <w:pPr>
        <w:pStyle w:val="FootnoteText"/>
        <w:jc w:val="both"/>
        <w:rPr>
          <w:lang w:val="et-EE"/>
        </w:rPr>
      </w:pPr>
      <w:r>
        <w:rPr>
          <w:rStyle w:val="FootnoteReference"/>
        </w:rPr>
        <w:footnoteRef/>
      </w:r>
      <w:r w:rsidR="0098702D">
        <w:t xml:space="preserve"> </w:t>
      </w:r>
      <w:r w:rsidR="00496A21">
        <w:t>Kättesaadav arvutivõrgus:</w:t>
      </w:r>
      <w:r>
        <w:t xml:space="preserve"> </w:t>
      </w:r>
      <w:hyperlink r:id="rId1" w:history="1">
        <w:r w:rsidRPr="00560C1B">
          <w:rPr>
            <w:rStyle w:val="Hyperlink"/>
          </w:rPr>
          <w:t>https://www.politsei.ee/dotAsset/27893.pdf</w:t>
        </w:r>
      </w:hyperlink>
      <w:r>
        <w:t xml:space="preserve"> </w:t>
      </w:r>
    </w:p>
  </w:footnote>
  <w:footnote w:id="3">
    <w:p w14:paraId="2915739E" w14:textId="7160CF78" w:rsidR="00863463" w:rsidRPr="006A00FC" w:rsidRDefault="00863463" w:rsidP="004C2C41">
      <w:pPr>
        <w:pStyle w:val="FootnoteText"/>
        <w:jc w:val="both"/>
        <w:rPr>
          <w:lang w:val="et-EE"/>
        </w:rPr>
      </w:pPr>
      <w:r>
        <w:rPr>
          <w:rStyle w:val="FootnoteReference"/>
        </w:rPr>
        <w:footnoteRef/>
      </w:r>
      <w:r w:rsidR="0098702D">
        <w:t xml:space="preserve"> </w:t>
      </w:r>
      <w:r>
        <w:t xml:space="preserve">Kättesaadav arvutivõrgus: </w:t>
      </w:r>
      <w:hyperlink r:id="rId2" w:history="1">
        <w:r w:rsidRPr="00560C1B">
          <w:rPr>
            <w:rStyle w:val="Hyperlink"/>
          </w:rPr>
          <w:t>http://www.imf.org/external/pubs/ft/mfsmcg/c4.pdf?p=cite_ltb</w:t>
        </w:r>
      </w:hyperlink>
      <w:r>
        <w:t xml:space="preserve"> </w:t>
      </w:r>
    </w:p>
  </w:footnote>
  <w:footnote w:id="4">
    <w:p w14:paraId="0E1B2AC9" w14:textId="77777777" w:rsidR="00496A21" w:rsidRPr="009D0BCB" w:rsidRDefault="00496A21" w:rsidP="00496A21">
      <w:pPr>
        <w:pStyle w:val="FootnoteText"/>
        <w:jc w:val="both"/>
        <w:rPr>
          <w:lang w:val="et-EE"/>
        </w:rPr>
      </w:pPr>
      <w:r>
        <w:rPr>
          <w:rStyle w:val="FootnoteReference"/>
        </w:rPr>
        <w:footnoteRef/>
      </w:r>
      <w:r>
        <w:t xml:space="preserve"> </w:t>
      </w:r>
      <w:r w:rsidRPr="009D0BCB">
        <w:rPr>
          <w:i/>
          <w:lang w:val="et-EE"/>
        </w:rPr>
        <w:t>Rahapesu ja terrorismi rahastamine toimub sageli rahvusvahelises keskkonnas. Üksnes siseriiklikul tasandil või isegi ühenduse tasandil vastuvõetavatel meetmetel on ainult väga piiratud mõju, kui arvesse ei võeta rahvusvahelist koordineerimist ja koostööd. Ühenduse poolt käesolevas valdkonnas vastuvõetavad meetmed peaksid seetõttu olema kooskõlas muude rahvusvahelisel tasandil ettevõetud tegevustega. Ühenduse tegevus peaks jätkuvalt arvestama eelkõige juhtivaima rahvusvahelise rahapesu ja terrorismi rahastamisega võitleva organi, kelleks on rahapesuvastane töökond, edaspidi “FATF”, soovitusi. Kuna FATFi soovitusi 2003. aastal oluliselt muudeti ja täiendati, peaks ühenduse direktiiv olema selle uue rahvusvahelise standardiga vastavuses</w:t>
      </w:r>
      <w:r>
        <w:rPr>
          <w:lang w:val="et-EE"/>
        </w:rPr>
        <w:t>.</w:t>
      </w:r>
    </w:p>
  </w:footnote>
  <w:footnote w:id="5">
    <w:p w14:paraId="11310BE7" w14:textId="64479AD6" w:rsidR="00496A21" w:rsidRPr="00496A21" w:rsidRDefault="00496A21" w:rsidP="00496A21">
      <w:pPr>
        <w:pStyle w:val="FootnoteText"/>
        <w:jc w:val="both"/>
        <w:rPr>
          <w:lang w:val="et-EE"/>
        </w:rPr>
      </w:pPr>
      <w:r>
        <w:rPr>
          <w:rStyle w:val="FootnoteReference"/>
        </w:rPr>
        <w:footnoteRef/>
      </w:r>
      <w:r>
        <w:t xml:space="preserve"> </w:t>
      </w:r>
      <w:r>
        <w:rPr>
          <w:lang w:val="et-EE"/>
        </w:rPr>
        <w:t xml:space="preserve">Kättesaadav arvutivõrgus: </w:t>
      </w:r>
      <w:hyperlink r:id="rId3" w:history="1">
        <w:r w:rsidRPr="000D36A6">
          <w:rPr>
            <w:rStyle w:val="Hyperlink"/>
            <w:lang w:val="et-EE"/>
          </w:rPr>
          <w:t>http://www.fatf-gafi.org/media/fatf/documents/reports/Guidance-RBA-Virtual-Currencies.pdf</w:t>
        </w:r>
      </w:hyperlink>
      <w:r>
        <w:rPr>
          <w:lang w:val="et-EE"/>
        </w:rPr>
        <w:t xml:space="preserve"> </w:t>
      </w:r>
    </w:p>
  </w:footnote>
  <w:footnote w:id="6">
    <w:p w14:paraId="04CC4BDA" w14:textId="2A0415FF" w:rsidR="00863463" w:rsidRPr="00E47024" w:rsidRDefault="00863463" w:rsidP="004C2C41">
      <w:pPr>
        <w:pStyle w:val="FootnoteText"/>
        <w:jc w:val="both"/>
        <w:rPr>
          <w:lang w:val="et-EE"/>
        </w:rPr>
      </w:pPr>
      <w:r>
        <w:rPr>
          <w:rStyle w:val="FootnoteReference"/>
        </w:rPr>
        <w:footnoteRef/>
      </w:r>
      <w:r w:rsidR="0098702D">
        <w:t xml:space="preserve"> </w:t>
      </w:r>
      <w:r>
        <w:t xml:space="preserve">Kättesaadav arvutivõrgus: </w:t>
      </w:r>
      <w:hyperlink r:id="rId4" w:history="1">
        <w:r w:rsidRPr="00560C1B">
          <w:rPr>
            <w:rStyle w:val="Hyperlink"/>
          </w:rPr>
          <w:t>http://www.fatf-gafi.org/media/fatf/documents/reports/Virtual-currency-key-definitions-and-potential-aml-cft-risks.pdf</w:t>
        </w:r>
      </w:hyperlink>
      <w:r>
        <w:t xml:space="preserve"> </w:t>
      </w:r>
    </w:p>
  </w:footnote>
  <w:footnote w:id="7">
    <w:p w14:paraId="283FBE1C" w14:textId="66E87D69" w:rsidR="00863463" w:rsidRPr="009B617A" w:rsidRDefault="00863463" w:rsidP="00D33E80">
      <w:pPr>
        <w:pStyle w:val="FootnoteText"/>
        <w:jc w:val="both"/>
        <w:rPr>
          <w:rStyle w:val="FootnoteReference"/>
        </w:rPr>
      </w:pPr>
      <w:r w:rsidRPr="009B617A">
        <w:rPr>
          <w:rStyle w:val="FootnoteReference"/>
        </w:rPr>
        <w:footnoteRef/>
      </w:r>
      <w:r w:rsidRPr="009B617A">
        <w:t xml:space="preserve"> </w:t>
      </w:r>
      <w:r w:rsidRPr="009B617A">
        <w:rPr>
          <w:lang w:val="et-EE"/>
        </w:rPr>
        <w:t xml:space="preserve">Eesti Panga makse- ja arveldussüsteemide osakonna juhataja Mihkel Nõmmela ettekanne 24.05.2014 toimunud </w:t>
      </w:r>
      <w:r w:rsidR="00293473">
        <w:rPr>
          <w:lang w:val="et-EE"/>
        </w:rPr>
        <w:t xml:space="preserve">Eesti esimesel bitcoiniteemalisel </w:t>
      </w:r>
      <w:r w:rsidRPr="009B617A">
        <w:rPr>
          <w:lang w:val="et-EE"/>
        </w:rPr>
        <w:t>konverentsi</w:t>
      </w:r>
      <w:r>
        <w:rPr>
          <w:lang w:val="et-EE"/>
        </w:rPr>
        <w:t>l</w:t>
      </w:r>
      <w:r w:rsidRPr="009B617A">
        <w:rPr>
          <w:lang w:val="et-EE"/>
        </w:rPr>
        <w:t>.</w:t>
      </w:r>
      <w:r w:rsidR="009030B3">
        <w:rPr>
          <w:lang w:val="et-EE"/>
        </w:rPr>
        <w:t xml:space="preserve"> Kättesaadav arvutivõrgus: </w:t>
      </w:r>
      <w:hyperlink r:id="rId5" w:history="1">
        <w:r w:rsidR="009030B3" w:rsidRPr="000D36A6">
          <w:rPr>
            <w:rStyle w:val="Hyperlink"/>
            <w:lang w:val="et-EE"/>
          </w:rPr>
          <w:t>http://www.bititim.com/btcevent/</w:t>
        </w:r>
      </w:hyperlink>
      <w:r w:rsidR="009030B3">
        <w:rPr>
          <w:lang w:val="et-EE"/>
        </w:rPr>
        <w:t xml:space="preserve"> </w:t>
      </w:r>
      <w:r w:rsidRPr="009B617A">
        <w:rPr>
          <w:rStyle w:val="FootnoteReference"/>
        </w:rPr>
        <w:t xml:space="preserve"> </w:t>
      </w:r>
    </w:p>
  </w:footnote>
  <w:footnote w:id="8">
    <w:p w14:paraId="53FFF43E" w14:textId="4F363815" w:rsidR="000E35D2" w:rsidRPr="005F4F97" w:rsidRDefault="000E35D2" w:rsidP="000E35D2">
      <w:pPr>
        <w:pStyle w:val="FootnoteText"/>
        <w:jc w:val="both"/>
        <w:rPr>
          <w:lang w:val="et-EE"/>
        </w:rPr>
      </w:pPr>
      <w:r w:rsidRPr="005F4F97">
        <w:rPr>
          <w:rStyle w:val="FootnoteReference"/>
        </w:rPr>
        <w:footnoteRef/>
      </w:r>
      <w:r w:rsidRPr="005F4F97">
        <w:t xml:space="preserve"> </w:t>
      </w:r>
      <w:r w:rsidRPr="00A778E1">
        <w:rPr>
          <w:lang w:val="et-EE"/>
        </w:rPr>
        <w:t>Vt Riigikohtu kriminaalkolleegi</w:t>
      </w:r>
      <w:r>
        <w:rPr>
          <w:lang w:val="et-EE"/>
        </w:rPr>
        <w:t>umi 13.04.2015 kohtuotsus kriminaal</w:t>
      </w:r>
      <w:r w:rsidRPr="00A778E1">
        <w:rPr>
          <w:lang w:val="et-EE"/>
        </w:rPr>
        <w:t>asjas nr 3-1-1-20-15, p 45</w:t>
      </w:r>
      <w:r>
        <w:rPr>
          <w:lang w:val="et-EE"/>
        </w:rPr>
        <w:t>.</w:t>
      </w:r>
    </w:p>
  </w:footnote>
  <w:footnote w:id="9">
    <w:p w14:paraId="4F12FCBD" w14:textId="396617CD" w:rsidR="00863463" w:rsidRPr="00664A88" w:rsidRDefault="00863463" w:rsidP="00F92D58">
      <w:pPr>
        <w:pStyle w:val="FootnoteText"/>
        <w:jc w:val="both"/>
        <w:rPr>
          <w:lang w:val="et-EE"/>
        </w:rPr>
      </w:pPr>
      <w:r>
        <w:rPr>
          <w:rStyle w:val="FootnoteReference"/>
        </w:rPr>
        <w:footnoteRef/>
      </w:r>
      <w:r w:rsidR="0098702D">
        <w:t xml:space="preserve"> </w:t>
      </w:r>
      <w:r w:rsidR="009D0BCB">
        <w:t>IV direktiivi eelnõu on k</w:t>
      </w:r>
      <w:r>
        <w:t xml:space="preserve">ättesaadav arvutivõrgus: </w:t>
      </w:r>
      <w:hyperlink r:id="rId6" w:history="1">
        <w:r w:rsidRPr="00560C1B">
          <w:rPr>
            <w:rStyle w:val="Hyperlink"/>
          </w:rPr>
          <w:t>http://eur-lex.europa.eu/legal-content/ET/TXT/PDF/?uri=CELEX:52013PC0045&amp;from=EN</w:t>
        </w:r>
      </w:hyperlink>
      <w:r>
        <w:t xml:space="preserve"> </w:t>
      </w:r>
    </w:p>
  </w:footnote>
  <w:footnote w:id="10">
    <w:p w14:paraId="4E5FAB8B" w14:textId="77777777" w:rsidR="00A04236" w:rsidRPr="00490011" w:rsidRDefault="00A04236" w:rsidP="00A04236">
      <w:pPr>
        <w:pStyle w:val="FootnoteText"/>
        <w:jc w:val="both"/>
        <w:rPr>
          <w:lang w:val="et-EE"/>
        </w:rPr>
      </w:pPr>
      <w:r>
        <w:rPr>
          <w:rStyle w:val="FootnoteReference"/>
        </w:rPr>
        <w:footnoteRef/>
      </w:r>
      <w:r>
        <w:t xml:space="preserve">Kättesaadav arvutivõrgus: </w:t>
      </w:r>
      <w:hyperlink r:id="rId7" w:history="1">
        <w:r w:rsidRPr="00700CD3">
          <w:rPr>
            <w:rStyle w:val="Hyperlink"/>
          </w:rPr>
          <w:t>http://hudoc.echr.coe.int/sites/eng/pages/search.aspx?i=001-57584</w:t>
        </w:r>
      </w:hyperlink>
      <w:r>
        <w:t xml:space="preserve">  </w:t>
      </w:r>
    </w:p>
  </w:footnote>
  <w:footnote w:id="11">
    <w:p w14:paraId="72902DD0" w14:textId="77777777" w:rsidR="00DE0372" w:rsidRPr="005F4F97" w:rsidRDefault="00DE0372" w:rsidP="00DE0372">
      <w:pPr>
        <w:pStyle w:val="FootnoteText"/>
        <w:jc w:val="both"/>
        <w:rPr>
          <w:lang w:val="et-EE"/>
        </w:rPr>
      </w:pPr>
      <w:r w:rsidRPr="005F4F97">
        <w:rPr>
          <w:rStyle w:val="FootnoteReference"/>
        </w:rPr>
        <w:footnoteRef/>
      </w:r>
      <w:r w:rsidRPr="005F4F97">
        <w:t xml:space="preserve"> </w:t>
      </w:r>
      <w:r w:rsidRPr="005F4F97">
        <w:rPr>
          <w:lang w:val="et-EE"/>
        </w:rPr>
        <w:t>Eesti Reformierakonna, S</w:t>
      </w:r>
      <w:r w:rsidRPr="00A778E1">
        <w:rPr>
          <w:lang w:val="et-EE"/>
        </w:rPr>
        <w:t>otsiaal</w:t>
      </w:r>
      <w:r w:rsidRPr="005F4F97">
        <w:rPr>
          <w:lang w:val="et-EE"/>
        </w:rPr>
        <w:t xml:space="preserve">demokraatliku </w:t>
      </w:r>
      <w:r>
        <w:rPr>
          <w:lang w:val="et-EE"/>
        </w:rPr>
        <w:t>E</w:t>
      </w:r>
      <w:r w:rsidRPr="005F4F97">
        <w:rPr>
          <w:lang w:val="et-EE"/>
        </w:rPr>
        <w:t xml:space="preserve">rakonna ning </w:t>
      </w:r>
      <w:r>
        <w:rPr>
          <w:lang w:val="et-EE"/>
        </w:rPr>
        <w:t>E</w:t>
      </w:r>
      <w:r w:rsidRPr="005F4F97">
        <w:rPr>
          <w:lang w:val="et-EE"/>
        </w:rPr>
        <w:t>rakonna Isamaa ja Res Publica Liit kokkulepe valitsuse moodustamise ja valitsusliidu tegevusprogrammi põhialuste kohta</w:t>
      </w:r>
      <w:r w:rsidRPr="00A778E1">
        <w:rPr>
          <w:lang w:val="et-EE"/>
        </w:rPr>
        <w:t xml:space="preserve">, p 8.66. Kättesaadav arvutivõrgus: </w:t>
      </w:r>
      <w:hyperlink r:id="rId8" w:history="1">
        <w:r w:rsidRPr="00A778E1">
          <w:rPr>
            <w:rStyle w:val="Hyperlink"/>
            <w:lang w:val="et-EE"/>
          </w:rPr>
          <w:t>https://valitsus.ee/sites/default/files/content-editors/failid/re-sde-irl-valitsusliidu-lepe-2015.pdf</w:t>
        </w:r>
      </w:hyperlink>
      <w:r w:rsidRPr="00A778E1">
        <w:rPr>
          <w:lang w:val="et-EE"/>
        </w:rPr>
        <w:t xml:space="preserve"> </w:t>
      </w:r>
    </w:p>
  </w:footnote>
  <w:footnote w:id="12">
    <w:p w14:paraId="1528706E" w14:textId="1CABEC1E" w:rsidR="00863463" w:rsidRPr="007B78FA" w:rsidRDefault="00863463" w:rsidP="007B78FA">
      <w:pPr>
        <w:pStyle w:val="FootnoteText"/>
        <w:jc w:val="both"/>
        <w:rPr>
          <w:bCs/>
          <w:lang w:val="et-EE"/>
        </w:rPr>
      </w:pPr>
      <w:r>
        <w:rPr>
          <w:rStyle w:val="FootnoteReference"/>
        </w:rPr>
        <w:footnoteRef/>
      </w:r>
      <w:r w:rsidR="0098702D">
        <w:rPr>
          <w:bCs/>
          <w:lang w:val="et-EE"/>
        </w:rPr>
        <w:t xml:space="preserve"> </w:t>
      </w:r>
      <w:r>
        <w:rPr>
          <w:bCs/>
          <w:lang w:val="et-EE"/>
        </w:rPr>
        <w:t>Vt Riigikohtu põhiseaduslikkuse järel</w:t>
      </w:r>
      <w:r w:rsidR="00DE0372">
        <w:rPr>
          <w:bCs/>
          <w:lang w:val="et-EE"/>
        </w:rPr>
        <w:t>e</w:t>
      </w:r>
      <w:r>
        <w:rPr>
          <w:bCs/>
          <w:lang w:val="et-EE"/>
        </w:rPr>
        <w:t>valve kolleegiumi 15.12.2005 kohtuotsus kohtuasjas nr 3-4-1-16-05, p 21.</w:t>
      </w:r>
    </w:p>
  </w:footnote>
  <w:footnote w:id="13">
    <w:p w14:paraId="396B4345" w14:textId="713C00B0" w:rsidR="007B78FA" w:rsidRPr="007B78FA" w:rsidRDefault="007B78FA" w:rsidP="007B78FA">
      <w:pPr>
        <w:pStyle w:val="FootnoteText"/>
        <w:jc w:val="both"/>
        <w:rPr>
          <w:lang w:val="et-EE"/>
        </w:rPr>
      </w:pPr>
      <w:r>
        <w:rPr>
          <w:rStyle w:val="FootnoteReference"/>
        </w:rPr>
        <w:footnoteRef/>
      </w:r>
      <w:r>
        <w:t xml:space="preserve"> Vt Riigikohtu halduskolleegiumi 20.05.2014 kohtumäärus haldusasjas nr 3-3-1-76-13, p 17; 14.05.2014 kohtumäärus haldusasjas nr 3-3-1-77-13. </w:t>
      </w:r>
    </w:p>
  </w:footnote>
  <w:footnote w:id="14">
    <w:p w14:paraId="3D9FFD87" w14:textId="3E4024D0" w:rsidR="00A17E93" w:rsidRPr="00A17E93" w:rsidRDefault="00A17E93" w:rsidP="00A17E93">
      <w:pPr>
        <w:pStyle w:val="FootnoteText"/>
        <w:jc w:val="both"/>
        <w:rPr>
          <w:lang w:val="et-EE"/>
        </w:rPr>
      </w:pPr>
      <w:r>
        <w:rPr>
          <w:rStyle w:val="FootnoteReference"/>
        </w:rPr>
        <w:footnoteRef/>
      </w:r>
      <w:r>
        <w:t xml:space="preserve"> </w:t>
      </w:r>
      <w:r>
        <w:rPr>
          <w:lang w:val="et-EE"/>
        </w:rPr>
        <w:t xml:space="preserve">Vt ka </w:t>
      </w:r>
      <w:hyperlink r:id="rId9" w:history="1">
        <w:r w:rsidRPr="000D36A6">
          <w:rPr>
            <w:rStyle w:val="Hyperlink"/>
            <w:lang w:val="et-EE"/>
          </w:rPr>
          <w:t>https://en.wikipedia.org/wiki/List_of_cryptocurrencies</w:t>
        </w:r>
      </w:hyperlink>
      <w:r>
        <w:rPr>
          <w:lang w:val="et-EE"/>
        </w:rPr>
        <w:t xml:space="preserve"> </w:t>
      </w:r>
    </w:p>
  </w:footnote>
  <w:footnote w:id="15">
    <w:p w14:paraId="556D3CCB" w14:textId="77777777" w:rsidR="00F464E7" w:rsidRPr="00141854" w:rsidRDefault="00F464E7" w:rsidP="00F464E7">
      <w:pPr>
        <w:pStyle w:val="FootnoteText"/>
        <w:jc w:val="both"/>
        <w:rPr>
          <w:lang w:val="et-EE"/>
        </w:rPr>
      </w:pPr>
      <w:r w:rsidRPr="00141854">
        <w:rPr>
          <w:rStyle w:val="FootnoteReference"/>
        </w:rPr>
        <w:footnoteRef/>
      </w:r>
      <w:r w:rsidRPr="00141854">
        <w:t xml:space="preserve"> </w:t>
      </w:r>
      <w:r w:rsidRPr="00141854">
        <w:rPr>
          <w:lang w:val="et-EE"/>
        </w:rPr>
        <w:t xml:space="preserve">Kättesaadav arvutivõrgus: </w:t>
      </w:r>
      <w:hyperlink r:id="rId10" w:history="1">
        <w:r w:rsidRPr="00A031F7">
          <w:rPr>
            <w:rStyle w:val="Hyperlink"/>
            <w:lang w:val="et-EE"/>
          </w:rPr>
          <w:t>http://www.scribd.com/doc/249854692/Estonia-Submits-Opinion-on-Bitcoin-Tax-at-European-Court-of-Justice</w:t>
        </w:r>
      </w:hyperlink>
      <w:r>
        <w:rPr>
          <w:lang w:val="et-EE"/>
        </w:rPr>
        <w:t>.</w:t>
      </w:r>
    </w:p>
  </w:footnote>
  <w:footnote w:id="16">
    <w:p w14:paraId="53041B47" w14:textId="1795E179" w:rsidR="00863463" w:rsidRPr="00C72F95" w:rsidRDefault="00863463" w:rsidP="00356D4B">
      <w:pPr>
        <w:pStyle w:val="FootnoteText"/>
        <w:jc w:val="both"/>
        <w:rPr>
          <w:lang w:val="et-EE"/>
        </w:rPr>
      </w:pPr>
      <w:r w:rsidRPr="00C72F95">
        <w:rPr>
          <w:rStyle w:val="FootnoteReference"/>
          <w:lang w:val="et-EE"/>
        </w:rPr>
        <w:footnoteRef/>
      </w:r>
      <w:r w:rsidRPr="00C72F95">
        <w:rPr>
          <w:lang w:val="et-EE"/>
        </w:rPr>
        <w:t xml:space="preserve"> Riigikohtu kriminaalkolleegiumi 01.06.2005 </w:t>
      </w:r>
      <w:r w:rsidR="00F5277E">
        <w:rPr>
          <w:lang w:val="et-EE"/>
        </w:rPr>
        <w:t>kohtu</w:t>
      </w:r>
      <w:r w:rsidRPr="00C72F95">
        <w:rPr>
          <w:lang w:val="et-EE"/>
        </w:rPr>
        <w:t>otsus kriminaalasjas nr 3-1-1-39-05, p 14.</w:t>
      </w:r>
    </w:p>
  </w:footnote>
  <w:footnote w:id="17">
    <w:p w14:paraId="5F97491C" w14:textId="6BF79DBF" w:rsidR="00863463" w:rsidRPr="00C72F95" w:rsidRDefault="00863463" w:rsidP="00356D4B">
      <w:pPr>
        <w:pStyle w:val="FootnoteText"/>
        <w:jc w:val="both"/>
        <w:rPr>
          <w:lang w:val="et-EE"/>
        </w:rPr>
      </w:pPr>
      <w:r w:rsidRPr="00C72F95">
        <w:rPr>
          <w:rStyle w:val="FootnoteReference"/>
          <w:lang w:val="et-EE"/>
        </w:rPr>
        <w:footnoteRef/>
      </w:r>
      <w:r w:rsidRPr="00C72F95">
        <w:rPr>
          <w:lang w:val="et-EE"/>
        </w:rPr>
        <w:t xml:space="preserve"> Riigikohtu põhiseaduslikkuse järelevalve kolleegiumi 03.03.2011 </w:t>
      </w:r>
      <w:r w:rsidR="00F5277E">
        <w:rPr>
          <w:lang w:val="et-EE"/>
        </w:rPr>
        <w:t>kohtu</w:t>
      </w:r>
      <w:r w:rsidRPr="00C72F95">
        <w:rPr>
          <w:lang w:val="et-EE"/>
        </w:rPr>
        <w:t>otsus kohtuasjas nr 3-4-1-15-10, p 27.</w:t>
      </w:r>
    </w:p>
  </w:footnote>
  <w:footnote w:id="18">
    <w:p w14:paraId="49DC9A9A" w14:textId="59ABEE97" w:rsidR="00863463" w:rsidRPr="00C72F95" w:rsidRDefault="00863463" w:rsidP="00356D4B">
      <w:pPr>
        <w:pStyle w:val="FootnoteText"/>
        <w:jc w:val="both"/>
        <w:rPr>
          <w:lang w:val="et-EE"/>
        </w:rPr>
      </w:pPr>
      <w:r w:rsidRPr="00C72F95">
        <w:rPr>
          <w:rStyle w:val="FootnoteReference"/>
          <w:lang w:val="et-EE"/>
        </w:rPr>
        <w:footnoteRef/>
      </w:r>
      <w:r w:rsidRPr="00C72F95">
        <w:rPr>
          <w:lang w:val="et-EE"/>
        </w:rPr>
        <w:t xml:space="preserve"> Euroopa Inimõiguste Kohtu 24.10.1983 </w:t>
      </w:r>
      <w:r w:rsidR="00F5277E">
        <w:rPr>
          <w:lang w:val="et-EE"/>
        </w:rPr>
        <w:t>kohtu</w:t>
      </w:r>
      <w:r w:rsidRPr="00C72F95">
        <w:rPr>
          <w:lang w:val="et-EE"/>
        </w:rPr>
        <w:t xml:space="preserve">otsused </w:t>
      </w:r>
      <w:r w:rsidR="00F5277E">
        <w:rPr>
          <w:lang w:val="et-EE"/>
        </w:rPr>
        <w:t>kohtu</w:t>
      </w:r>
      <w:r w:rsidRPr="00C72F95">
        <w:rPr>
          <w:lang w:val="et-EE"/>
        </w:rPr>
        <w:t xml:space="preserve">asjades nr 7299/75 ja 7496/76, Albert ja Le Compte v. Belgia. </w:t>
      </w:r>
    </w:p>
  </w:footnote>
  <w:footnote w:id="19">
    <w:p w14:paraId="2F23E136" w14:textId="33ECFE42" w:rsidR="00863463" w:rsidRPr="00C72F95" w:rsidRDefault="00863463" w:rsidP="00356D4B">
      <w:pPr>
        <w:pStyle w:val="FootnoteText"/>
        <w:jc w:val="both"/>
        <w:rPr>
          <w:lang w:val="et-EE"/>
        </w:rPr>
      </w:pPr>
      <w:r w:rsidRPr="00C72F95">
        <w:rPr>
          <w:rStyle w:val="FootnoteReference"/>
          <w:lang w:val="et-EE"/>
        </w:rPr>
        <w:footnoteRef/>
      </w:r>
      <w:r w:rsidRPr="00C72F95">
        <w:rPr>
          <w:lang w:val="et-EE"/>
        </w:rPr>
        <w:t xml:space="preserve"> Tartu Ringkonnakohtu 26.05.2009 </w:t>
      </w:r>
      <w:r w:rsidR="00F5277E">
        <w:rPr>
          <w:lang w:val="et-EE"/>
        </w:rPr>
        <w:t>kohtu</w:t>
      </w:r>
      <w:r w:rsidRPr="00C72F95">
        <w:rPr>
          <w:lang w:val="et-EE"/>
        </w:rPr>
        <w:t xml:space="preserve">otsus kohtuasjas nr 3-08-1090, p 7. </w:t>
      </w:r>
    </w:p>
  </w:footnote>
  <w:footnote w:id="20">
    <w:p w14:paraId="7E1E75CE" w14:textId="3095A1B7" w:rsidR="00863463" w:rsidRDefault="00863463" w:rsidP="00356D4B">
      <w:pPr>
        <w:pStyle w:val="FootnoteText"/>
        <w:jc w:val="both"/>
      </w:pPr>
      <w:r>
        <w:rPr>
          <w:rStyle w:val="FootnoteReference"/>
        </w:rPr>
        <w:footnoteRef/>
      </w:r>
      <w:r>
        <w:t xml:space="preserve"> Eesti Vabariigi Põhiseadus: kommenteeritud väljaanne, 2012, ptk 2 § 2</w:t>
      </w:r>
      <w:r w:rsidR="00A66F6E">
        <w:t>,</w:t>
      </w:r>
      <w:r w:rsidR="006D254C">
        <w:t xml:space="preserve"> p-d 4.1</w:t>
      </w:r>
      <w:r>
        <w:t>-4-3.</w:t>
      </w:r>
    </w:p>
  </w:footnote>
  <w:footnote w:id="21">
    <w:p w14:paraId="719A656E" w14:textId="492A9BB8" w:rsidR="00863463" w:rsidRDefault="00863463" w:rsidP="00356D4B">
      <w:pPr>
        <w:pStyle w:val="FootnoteText"/>
        <w:jc w:val="both"/>
      </w:pPr>
      <w:r>
        <w:rPr>
          <w:rStyle w:val="FootnoteReference"/>
        </w:rPr>
        <w:footnoteRef/>
      </w:r>
      <w:r>
        <w:t xml:space="preserve"> </w:t>
      </w:r>
      <w:r w:rsidRPr="005D5976">
        <w:t>E</w:t>
      </w:r>
      <w:r w:rsidR="00F5277E">
        <w:t xml:space="preserve">uroopa </w:t>
      </w:r>
      <w:r w:rsidRPr="005D5976">
        <w:t>I</w:t>
      </w:r>
      <w:r w:rsidR="00F5277E">
        <w:t xml:space="preserve">nimõiguste </w:t>
      </w:r>
      <w:r w:rsidRPr="005D5976">
        <w:t>Ko</w:t>
      </w:r>
      <w:r w:rsidR="00F5277E">
        <w:t>htu</w:t>
      </w:r>
      <w:r w:rsidRPr="005D5976">
        <w:t xml:space="preserve"> 21.12.2000</w:t>
      </w:r>
      <w:r w:rsidR="00F5277E">
        <w:t xml:space="preserve"> kohtuotsus</w:t>
      </w:r>
      <w:r w:rsidR="00262F5E">
        <w:t>es</w:t>
      </w:r>
      <w:r w:rsidR="00F5277E">
        <w:t xml:space="preserve"> kohtuasjas nr</w:t>
      </w:r>
      <w:r w:rsidRPr="005D5976">
        <w:t xml:space="preserve"> 34720/97, Heaney and McGuinness v. Iirimaa</w:t>
      </w:r>
      <w:r>
        <w:t xml:space="preserve"> </w:t>
      </w:r>
      <w:r w:rsidR="00262F5E">
        <w:t>(</w:t>
      </w:r>
      <w:r>
        <w:t>p 58</w:t>
      </w:r>
      <w:r w:rsidR="00262F5E">
        <w:t>)</w:t>
      </w:r>
      <w:r w:rsidR="00677090">
        <w:t xml:space="preserve"> </w:t>
      </w:r>
      <w:r w:rsidR="00262F5E">
        <w:t>on väljendatud seisukohta</w:t>
      </w:r>
      <w:r>
        <w:t>, et avaliku korra küsimused ei saa õigustada riivet is</w:t>
      </w:r>
      <w:r w:rsidR="00F5277E">
        <w:t>i</w:t>
      </w:r>
      <w:r>
        <w:t>ku õigusele tugineda enese mittesüüsta</w:t>
      </w:r>
      <w:bookmarkStart w:id="0" w:name="_GoBack"/>
      <w:bookmarkEnd w:id="0"/>
      <w:r>
        <w:t>mise privileegile.</w:t>
      </w:r>
    </w:p>
  </w:footnote>
  <w:footnote w:id="22">
    <w:p w14:paraId="4B322811" w14:textId="2CD7EBDF" w:rsidR="00863463" w:rsidRDefault="00863463" w:rsidP="00356D4B">
      <w:pPr>
        <w:pStyle w:val="FootnoteText"/>
        <w:jc w:val="both"/>
      </w:pPr>
      <w:r>
        <w:rPr>
          <w:rStyle w:val="FootnoteReference"/>
        </w:rPr>
        <w:footnoteRef/>
      </w:r>
      <w:r>
        <w:t xml:space="preserve"> R</w:t>
      </w:r>
      <w:r w:rsidR="00F5277E">
        <w:t xml:space="preserve">iigikohtu kriminaalkolleegiumi </w:t>
      </w:r>
      <w:r>
        <w:t>20.03.2002</w:t>
      </w:r>
      <w:r w:rsidR="00F5277E">
        <w:t xml:space="preserve"> kohtuotsus kriminaalasjas </w:t>
      </w:r>
      <w:r>
        <w:t xml:space="preserve">nr </w:t>
      </w:r>
      <w:r w:rsidRPr="004001F1">
        <w:t>3-1-1-25-02</w:t>
      </w:r>
      <w:r>
        <w:t xml:space="preserve">, p 13. </w:t>
      </w:r>
    </w:p>
  </w:footnote>
  <w:footnote w:id="23">
    <w:p w14:paraId="5E37FECC" w14:textId="77777777" w:rsidR="00863463" w:rsidRDefault="00863463" w:rsidP="00356D4B">
      <w:pPr>
        <w:pStyle w:val="FootnoteText"/>
        <w:jc w:val="both"/>
      </w:pPr>
      <w:r>
        <w:rPr>
          <w:rStyle w:val="FootnoteReference"/>
        </w:rPr>
        <w:footnoteRef/>
      </w:r>
      <w:r>
        <w:t xml:space="preserve"> Eesti Vabariigi Põhiseadus: kommenteeritud väljaanne, 2012, ptk 2 § 14, p 2.3. </w:t>
      </w:r>
    </w:p>
  </w:footnote>
  <w:footnote w:id="24">
    <w:p w14:paraId="2536C428" w14:textId="695EDC52" w:rsidR="00863463" w:rsidRDefault="00863463" w:rsidP="00356D4B">
      <w:pPr>
        <w:pStyle w:val="FootnoteText"/>
        <w:jc w:val="both"/>
      </w:pPr>
      <w:r>
        <w:rPr>
          <w:rStyle w:val="FootnoteReference"/>
        </w:rPr>
        <w:footnoteRef/>
      </w:r>
      <w:r>
        <w:t xml:space="preserve"> Vt nt Euroopas: E</w:t>
      </w:r>
      <w:r w:rsidR="00F5277E">
        <w:t xml:space="preserve">uroopa </w:t>
      </w:r>
      <w:r>
        <w:t>I</w:t>
      </w:r>
      <w:r w:rsidR="00F5277E">
        <w:t xml:space="preserve">nimõiguste </w:t>
      </w:r>
      <w:r>
        <w:t>Ko</w:t>
      </w:r>
      <w:r w:rsidR="00F5277E">
        <w:t>htu</w:t>
      </w:r>
      <w:r>
        <w:t xml:space="preserve"> 08.07.2004</w:t>
      </w:r>
      <w:r w:rsidR="00F5277E">
        <w:t xml:space="preserve"> kohtuotsus kohtuasjas nr</w:t>
      </w:r>
      <w:r>
        <w:t xml:space="preserve"> </w:t>
      </w:r>
      <w:r w:rsidRPr="007E3A82">
        <w:t>38544/97, Weh v. Austria</w:t>
      </w:r>
      <w:r>
        <w:t>; Eestis: R</w:t>
      </w:r>
      <w:r w:rsidR="00F5277E">
        <w:t xml:space="preserve">iigikohtu kriminaalkolleegiumi </w:t>
      </w:r>
      <w:r>
        <w:t>01.06.2005</w:t>
      </w:r>
      <w:r w:rsidR="00F5277E">
        <w:t xml:space="preserve"> kohtuotsus kriminaalasjas</w:t>
      </w:r>
      <w:r>
        <w:t xml:space="preserve"> nr</w:t>
      </w:r>
      <w:r w:rsidRPr="007E3A82">
        <w:t xml:space="preserve"> 3-1-1-39-05</w:t>
      </w:r>
      <w:r>
        <w:t>; USA</w:t>
      </w:r>
      <w:r w:rsidR="00262F5E">
        <w:t>-</w:t>
      </w:r>
      <w:r>
        <w:t>s: T.M.Todd, The fifth amendment and the conjurer’s circle: exploring the privilege against self-incrimination in federal tax practice, Charleston Law Review</w:t>
      </w:r>
      <w:r w:rsidR="00262F5E">
        <w:t>,</w:t>
      </w:r>
      <w:r>
        <w:t xml:space="preserve"> 2014</w:t>
      </w:r>
      <w:r w:rsidR="00262F5E">
        <w:t>,</w:t>
      </w:r>
      <w:r>
        <w:t xml:space="preserve"> Vol 9, p 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83DE" w14:textId="77777777" w:rsidR="00863463" w:rsidRDefault="00863463" w:rsidP="00E62512">
    <w:pPr>
      <w:pStyle w:val="Header"/>
      <w:tabs>
        <w:tab w:val="clear" w:pos="9638"/>
        <w:tab w:val="right" w:pos="11057"/>
      </w:tabs>
      <w:ind w:left="-1247"/>
    </w:pPr>
  </w:p>
  <w:p w14:paraId="2AEC83DF" w14:textId="77777777" w:rsidR="00863463" w:rsidRDefault="00863463" w:rsidP="00E62512">
    <w:pPr>
      <w:pStyle w:val="Header"/>
      <w:tabs>
        <w:tab w:val="clear" w:pos="9638"/>
        <w:tab w:val="right" w:pos="11057"/>
      </w:tabs>
      <w:ind w:left="-1247"/>
    </w:pPr>
  </w:p>
  <w:p w14:paraId="2AEC83E0" w14:textId="77777777" w:rsidR="00863463" w:rsidRDefault="00863463" w:rsidP="00E62512">
    <w:pPr>
      <w:pStyle w:val="Header"/>
      <w:tabs>
        <w:tab w:val="clear" w:pos="9638"/>
        <w:tab w:val="right" w:pos="11057"/>
      </w:tabs>
      <w:ind w:left="-1247"/>
    </w:pPr>
    <w:r>
      <w:rPr>
        <w:noProof/>
        <w:lang w:val="et-EE" w:eastAsia="et-EE"/>
      </w:rPr>
      <w:drawing>
        <wp:anchor distT="0" distB="0" distL="114300" distR="114300" simplePos="0" relativeHeight="251664384" behindDoc="0" locked="1" layoutInCell="1" allowOverlap="1" wp14:anchorId="2AEC83E2" wp14:editId="2AEC83E3">
          <wp:simplePos x="0" y="0"/>
          <wp:positionH relativeFrom="page">
            <wp:posOffset>0</wp:posOffset>
          </wp:positionH>
          <wp:positionV relativeFrom="page">
            <wp:posOffset>0</wp:posOffset>
          </wp:positionV>
          <wp:extent cx="7563600" cy="914491"/>
          <wp:effectExtent l="0" t="0" r="0" b="0"/>
          <wp:wrapSquare wrapText="bothSides"/>
          <wp:docPr id="1" name="Picture 1" descr="C:\Users\Mazeikaite\Desktop\Blankai NEW\EE\EE E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eikaite\Desktop\Blankai NEW\EE\EE EE 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91449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B1F"/>
    <w:multiLevelType w:val="hybridMultilevel"/>
    <w:tmpl w:val="CCC411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1A259B"/>
    <w:multiLevelType w:val="multilevel"/>
    <w:tmpl w:val="66427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rebuchet MS" w:hAnsi="Trebuchet MS" w:hint="default"/>
        <w:b/>
        <w:sz w:val="20"/>
        <w:lang w:val="et-EE"/>
      </w:rPr>
    </w:lvl>
    <w:lvl w:ilvl="2">
      <w:start w:val="1"/>
      <w:numFmt w:val="decimal"/>
      <w:isLgl/>
      <w:lvlText w:val="%1.%2.%3."/>
      <w:lvlJc w:val="left"/>
      <w:pPr>
        <w:ind w:left="1080" w:hanging="720"/>
      </w:pPr>
      <w:rPr>
        <w:rFonts w:ascii="Trebuchet MS" w:hAnsi="Trebuchet M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0C4979"/>
    <w:multiLevelType w:val="multilevel"/>
    <w:tmpl w:val="EAF8C614"/>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04E2E83"/>
    <w:multiLevelType w:val="hybridMultilevel"/>
    <w:tmpl w:val="ACCA618E"/>
    <w:lvl w:ilvl="0" w:tplc="234EC752">
      <w:start w:val="1"/>
      <w:numFmt w:val="lowerRoman"/>
      <w:lvlText w:val="(%1)"/>
      <w:lvlJc w:val="left"/>
      <w:pPr>
        <w:ind w:left="1428" w:hanging="720"/>
      </w:pPr>
      <w:rPr>
        <w:rFonts w:ascii="Calibri" w:hAnsi="Calibri" w:hint="default"/>
        <w:b w:val="0"/>
        <w:sz w:val="22"/>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341696F"/>
    <w:multiLevelType w:val="multilevel"/>
    <w:tmpl w:val="22B01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AA0C5C"/>
    <w:multiLevelType w:val="hybridMultilevel"/>
    <w:tmpl w:val="19CE7DF6"/>
    <w:lvl w:ilvl="0" w:tplc="588688DE">
      <w:start w:val="1"/>
      <w:numFmt w:val="lowerRoman"/>
      <w:lvlText w:val="(%1)"/>
      <w:lvlJc w:val="left"/>
      <w:pPr>
        <w:ind w:left="1428" w:hanging="720"/>
      </w:pPr>
      <w:rPr>
        <w:rFonts w:ascii="Calibri" w:hAnsi="Calibri" w:hint="default"/>
        <w:sz w:val="22"/>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157B40C1"/>
    <w:multiLevelType w:val="multilevel"/>
    <w:tmpl w:val="9394352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lowerLetter"/>
      <w:lvlText w:val="(%4)"/>
      <w:lvlJc w:val="left"/>
      <w:pPr>
        <w:tabs>
          <w:tab w:val="num" w:pos="720"/>
        </w:tabs>
        <w:ind w:left="720" w:hanging="720"/>
      </w:pPr>
      <w:rPr>
        <w:rFonts w:ascii="Trebuchet MS" w:eastAsia="Times New Roman" w:hAnsi="Trebuchet MS"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AF09E7"/>
    <w:multiLevelType w:val="hybridMultilevel"/>
    <w:tmpl w:val="2B8048BC"/>
    <w:lvl w:ilvl="0" w:tplc="04250017">
      <w:start w:val="1"/>
      <w:numFmt w:val="lowerLetter"/>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18F4084B"/>
    <w:multiLevelType w:val="multilevel"/>
    <w:tmpl w:val="D718301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1"/>
      <w:lvlJc w:val="left"/>
      <w:pPr>
        <w:tabs>
          <w:tab w:val="num" w:pos="720"/>
        </w:tabs>
        <w:ind w:left="720" w:hanging="720"/>
      </w:pPr>
      <w:rPr>
        <w:rFonts w:hint="default"/>
        <w:b/>
      </w:rPr>
    </w:lvl>
    <w:lvl w:ilvl="3">
      <w:start w:val="1"/>
      <w:numFmt w:val="lowerRoman"/>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9045B1F"/>
    <w:multiLevelType w:val="multilevel"/>
    <w:tmpl w:val="F2C618B0"/>
    <w:lvl w:ilvl="0">
      <w:start w:val="1"/>
      <w:numFmt w:val="decimal"/>
      <w:lvlText w:val="%1."/>
      <w:lvlJc w:val="left"/>
      <w:pPr>
        <w:ind w:left="720" w:hanging="720"/>
      </w:pPr>
      <w:rPr>
        <w:rFonts w:ascii="Trebuchet MS" w:hAnsi="Trebuchet MS" w:cs="Times New Roman" w:hint="default"/>
        <w:b w:val="0"/>
        <w:i w:val="0"/>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0" w15:restartNumberingAfterBreak="0">
    <w:nsid w:val="1AAA3350"/>
    <w:multiLevelType w:val="hybridMultilevel"/>
    <w:tmpl w:val="252A3158"/>
    <w:lvl w:ilvl="0" w:tplc="588688DE">
      <w:start w:val="1"/>
      <w:numFmt w:val="lowerRoman"/>
      <w:lvlText w:val="(%1)"/>
      <w:lvlJc w:val="left"/>
      <w:pPr>
        <w:ind w:left="720" w:hanging="360"/>
      </w:pPr>
      <w:rPr>
        <w:rFonts w:ascii="Calibri" w:hAnsi="Calibri" w:hint="default"/>
        <w:sz w:val="22"/>
      </w:rPr>
    </w:lvl>
    <w:lvl w:ilvl="1" w:tplc="47169EAA">
      <w:start w:val="1"/>
      <w:numFmt w:val="lowerRoman"/>
      <w:lvlText w:val="(%2)"/>
      <w:lvlJc w:val="left"/>
      <w:pPr>
        <w:ind w:left="1440" w:hanging="360"/>
      </w:pPr>
      <w:rPr>
        <w:rFonts w:ascii="Trebuchet MS" w:eastAsiaTheme="minorHAnsi" w:hAnsi="Trebuchet MS" w:cstheme="minorBid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E165CF4"/>
    <w:multiLevelType w:val="multilevel"/>
    <w:tmpl w:val="3C06FB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5C172A"/>
    <w:multiLevelType w:val="hybridMultilevel"/>
    <w:tmpl w:val="4876426E"/>
    <w:lvl w:ilvl="0" w:tplc="05224F42">
      <w:start w:val="1"/>
      <w:numFmt w:val="decimal"/>
      <w:lvlText w:val="%1."/>
      <w:lvlJc w:val="left"/>
      <w:pPr>
        <w:ind w:left="720" w:hanging="360"/>
      </w:pPr>
      <w:rPr>
        <w:rFonts w:ascii="Trebuchet MS" w:hAnsi="Trebuchet MS" w:hint="default"/>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029541E"/>
    <w:multiLevelType w:val="hybridMultilevel"/>
    <w:tmpl w:val="4B1ABC8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25E4DC9"/>
    <w:multiLevelType w:val="hybridMultilevel"/>
    <w:tmpl w:val="ACCA618E"/>
    <w:lvl w:ilvl="0" w:tplc="234EC752">
      <w:start w:val="1"/>
      <w:numFmt w:val="lowerRoman"/>
      <w:lvlText w:val="(%1)"/>
      <w:lvlJc w:val="left"/>
      <w:pPr>
        <w:ind w:left="1428" w:hanging="720"/>
      </w:pPr>
      <w:rPr>
        <w:rFonts w:ascii="Calibri" w:hAnsi="Calibri" w:hint="default"/>
        <w:b w:val="0"/>
        <w:sz w:val="22"/>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490803FB"/>
    <w:multiLevelType w:val="multilevel"/>
    <w:tmpl w:val="E5E07FE6"/>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17" w15:restartNumberingAfterBreak="0">
    <w:nsid w:val="4C0051D8"/>
    <w:multiLevelType w:val="multilevel"/>
    <w:tmpl w:val="E49A86DE"/>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ascii="Trebuchet MS" w:hAnsi="Trebuchet MS" w:hint="default"/>
        <w:b/>
        <w:sz w:val="20"/>
        <w:szCs w:val="20"/>
      </w:rPr>
    </w:lvl>
    <w:lvl w:ilvl="2">
      <w:start w:val="1"/>
      <w:numFmt w:val="decimal"/>
      <w:lvlText w:val="%1.%2.%3"/>
      <w:lvlJc w:val="left"/>
      <w:pPr>
        <w:tabs>
          <w:tab w:val="num" w:pos="862"/>
        </w:tabs>
        <w:ind w:left="862" w:hanging="720"/>
      </w:pPr>
      <w:rPr>
        <w:rFonts w:hint="default"/>
        <w:b/>
      </w:rPr>
    </w:lvl>
    <w:lvl w:ilvl="3">
      <w:start w:val="1"/>
      <w:numFmt w:val="lowerLetter"/>
      <w:lvlText w:val="(%4)"/>
      <w:lvlJc w:val="left"/>
      <w:pPr>
        <w:tabs>
          <w:tab w:val="num" w:pos="720"/>
        </w:tabs>
        <w:ind w:left="720" w:hanging="720"/>
      </w:pPr>
      <w:rPr>
        <w:rFonts w:ascii="Trebuchet MS" w:eastAsia="Times New Roman" w:hAnsi="Trebuchet MS" w:cs="Times New Roman"/>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86319A"/>
    <w:multiLevelType w:val="multilevel"/>
    <w:tmpl w:val="332A4CB4"/>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20" w:hanging="360"/>
      </w:pPr>
      <w:rPr>
        <w:rFonts w:ascii="Calibri" w:hAnsi="Calibri" w:hint="default"/>
        <w:sz w:val="22"/>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19" w15:restartNumberingAfterBreak="0">
    <w:nsid w:val="60CF282F"/>
    <w:multiLevelType w:val="multilevel"/>
    <w:tmpl w:val="BAD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50567"/>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675D18B3"/>
    <w:multiLevelType w:val="hybridMultilevel"/>
    <w:tmpl w:val="19CE7DF6"/>
    <w:lvl w:ilvl="0" w:tplc="588688DE">
      <w:start w:val="1"/>
      <w:numFmt w:val="lowerRoman"/>
      <w:lvlText w:val="(%1)"/>
      <w:lvlJc w:val="left"/>
      <w:pPr>
        <w:ind w:left="1428" w:hanging="720"/>
      </w:pPr>
      <w:rPr>
        <w:rFonts w:ascii="Calibri" w:hAnsi="Calibri" w:hint="default"/>
        <w:sz w:val="22"/>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2" w15:restartNumberingAfterBreak="0">
    <w:nsid w:val="77A70BE8"/>
    <w:multiLevelType w:val="hybridMultilevel"/>
    <w:tmpl w:val="19CE7DF6"/>
    <w:lvl w:ilvl="0" w:tplc="588688DE">
      <w:start w:val="1"/>
      <w:numFmt w:val="lowerRoman"/>
      <w:lvlText w:val="(%1)"/>
      <w:lvlJc w:val="left"/>
      <w:pPr>
        <w:ind w:left="1428" w:hanging="720"/>
      </w:pPr>
      <w:rPr>
        <w:rFonts w:ascii="Calibri" w:hAnsi="Calibri" w:hint="default"/>
        <w:sz w:val="22"/>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3" w15:restartNumberingAfterBreak="0">
    <w:nsid w:val="78F93567"/>
    <w:multiLevelType w:val="multilevel"/>
    <w:tmpl w:val="697AD05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7DB72F89"/>
    <w:multiLevelType w:val="multilevel"/>
    <w:tmpl w:val="EAF8C614"/>
    <w:lvl w:ilvl="0">
      <w:start w:val="1"/>
      <w:numFmt w:val="decimal"/>
      <w:lvlText w:val="%1"/>
      <w:lvlJc w:val="left"/>
      <w:pPr>
        <w:ind w:left="465" w:hanging="465"/>
      </w:pPr>
      <w:rPr>
        <w:rFonts w:hint="default"/>
      </w:rPr>
    </w:lvl>
    <w:lvl w:ilvl="1">
      <w:start w:val="2"/>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8"/>
  </w:num>
  <w:num w:numId="12">
    <w:abstractNumId w:val="20"/>
  </w:num>
  <w:num w:numId="13">
    <w:abstractNumId w:val="9"/>
  </w:num>
  <w:num w:numId="14">
    <w:abstractNumId w:val="7"/>
  </w:num>
  <w:num w:numId="15">
    <w:abstractNumId w:val="23"/>
  </w:num>
  <w:num w:numId="16">
    <w:abstractNumId w:val="13"/>
  </w:num>
  <w:num w:numId="17">
    <w:abstractNumId w:val="18"/>
  </w:num>
  <w:num w:numId="18">
    <w:abstractNumId w:val="22"/>
  </w:num>
  <w:num w:numId="19">
    <w:abstractNumId w:val="2"/>
  </w:num>
  <w:num w:numId="20">
    <w:abstractNumId w:val="24"/>
  </w:num>
  <w:num w:numId="21">
    <w:abstractNumId w:val="21"/>
  </w:num>
  <w:num w:numId="22">
    <w:abstractNumId w:val="0"/>
  </w:num>
  <w:num w:numId="23">
    <w:abstractNumId w:val="5"/>
  </w:num>
  <w:num w:numId="24">
    <w:abstractNumId w:val="14"/>
  </w:num>
  <w:num w:numId="25">
    <w:abstractNumId w:val="3"/>
  </w:num>
  <w:num w:numId="26">
    <w:abstractNumId w:val="10"/>
  </w:num>
  <w:num w:numId="27">
    <w:abstractNumId w:val="17"/>
  </w:num>
  <w:num w:numId="28">
    <w:abstractNumId w:val="6"/>
  </w:num>
  <w:num w:numId="29">
    <w:abstractNumId w:val="19"/>
  </w:num>
  <w:num w:numId="30">
    <w:abstractNumId w:val="4"/>
  </w:num>
  <w:num w:numId="31">
    <w:abstractNumId w:val="1"/>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95"/>
    <w:rsid w:val="00001AB7"/>
    <w:rsid w:val="000033A0"/>
    <w:rsid w:val="00004326"/>
    <w:rsid w:val="0002553C"/>
    <w:rsid w:val="000517C6"/>
    <w:rsid w:val="00055849"/>
    <w:rsid w:val="0005646B"/>
    <w:rsid w:val="00056E97"/>
    <w:rsid w:val="00071121"/>
    <w:rsid w:val="00071D70"/>
    <w:rsid w:val="00077B20"/>
    <w:rsid w:val="00091F76"/>
    <w:rsid w:val="000A22F0"/>
    <w:rsid w:val="000C256B"/>
    <w:rsid w:val="000C2FA4"/>
    <w:rsid w:val="000C38E6"/>
    <w:rsid w:val="000D71B2"/>
    <w:rsid w:val="000E271D"/>
    <w:rsid w:val="000E35D2"/>
    <w:rsid w:val="000F7547"/>
    <w:rsid w:val="00102C26"/>
    <w:rsid w:val="00107875"/>
    <w:rsid w:val="00140FE4"/>
    <w:rsid w:val="0015236C"/>
    <w:rsid w:val="0015433A"/>
    <w:rsid w:val="0015473A"/>
    <w:rsid w:val="00193E09"/>
    <w:rsid w:val="001A09B0"/>
    <w:rsid w:val="001B3D02"/>
    <w:rsid w:val="001B4764"/>
    <w:rsid w:val="001C7508"/>
    <w:rsid w:val="001D344B"/>
    <w:rsid w:val="001D5B14"/>
    <w:rsid w:val="001E7DC6"/>
    <w:rsid w:val="00201BE5"/>
    <w:rsid w:val="002107A7"/>
    <w:rsid w:val="00217781"/>
    <w:rsid w:val="0022166F"/>
    <w:rsid w:val="0023651C"/>
    <w:rsid w:val="00247769"/>
    <w:rsid w:val="00262F5E"/>
    <w:rsid w:val="002860C1"/>
    <w:rsid w:val="00291C3E"/>
    <w:rsid w:val="00293473"/>
    <w:rsid w:val="002A22EB"/>
    <w:rsid w:val="002B08D2"/>
    <w:rsid w:val="002B1A7C"/>
    <w:rsid w:val="002C06D8"/>
    <w:rsid w:val="002C1F2C"/>
    <w:rsid w:val="002C5750"/>
    <w:rsid w:val="002D5BE9"/>
    <w:rsid w:val="002D749B"/>
    <w:rsid w:val="002E317A"/>
    <w:rsid w:val="002F1360"/>
    <w:rsid w:val="002F4BF5"/>
    <w:rsid w:val="002F6A20"/>
    <w:rsid w:val="002F6E44"/>
    <w:rsid w:val="003134A6"/>
    <w:rsid w:val="003171F7"/>
    <w:rsid w:val="003236E0"/>
    <w:rsid w:val="00324D87"/>
    <w:rsid w:val="00330F78"/>
    <w:rsid w:val="00336461"/>
    <w:rsid w:val="003372BD"/>
    <w:rsid w:val="00342F37"/>
    <w:rsid w:val="00347417"/>
    <w:rsid w:val="00356D4B"/>
    <w:rsid w:val="003578D2"/>
    <w:rsid w:val="0036340B"/>
    <w:rsid w:val="0037015C"/>
    <w:rsid w:val="00371565"/>
    <w:rsid w:val="00377CD6"/>
    <w:rsid w:val="003808B2"/>
    <w:rsid w:val="00384843"/>
    <w:rsid w:val="00392B61"/>
    <w:rsid w:val="003A465C"/>
    <w:rsid w:val="003A736C"/>
    <w:rsid w:val="003B5262"/>
    <w:rsid w:val="003C5625"/>
    <w:rsid w:val="003D5EB8"/>
    <w:rsid w:val="003E63CD"/>
    <w:rsid w:val="00410AC1"/>
    <w:rsid w:val="004147D4"/>
    <w:rsid w:val="004150B7"/>
    <w:rsid w:val="00430A62"/>
    <w:rsid w:val="00440AFC"/>
    <w:rsid w:val="00442133"/>
    <w:rsid w:val="004555B6"/>
    <w:rsid w:val="00480ECC"/>
    <w:rsid w:val="00490011"/>
    <w:rsid w:val="00492ABF"/>
    <w:rsid w:val="00493049"/>
    <w:rsid w:val="00496A21"/>
    <w:rsid w:val="004A4DAB"/>
    <w:rsid w:val="004B1C7E"/>
    <w:rsid w:val="004B5FE1"/>
    <w:rsid w:val="004C0FEF"/>
    <w:rsid w:val="004C2C41"/>
    <w:rsid w:val="004C6BDB"/>
    <w:rsid w:val="004F1294"/>
    <w:rsid w:val="00555CDA"/>
    <w:rsid w:val="00566880"/>
    <w:rsid w:val="005731A5"/>
    <w:rsid w:val="0057370E"/>
    <w:rsid w:val="00573828"/>
    <w:rsid w:val="00573A2A"/>
    <w:rsid w:val="00574F16"/>
    <w:rsid w:val="00587FC5"/>
    <w:rsid w:val="005D5809"/>
    <w:rsid w:val="005D7C8C"/>
    <w:rsid w:val="005E5060"/>
    <w:rsid w:val="005F32DE"/>
    <w:rsid w:val="00611DCF"/>
    <w:rsid w:val="00630FCA"/>
    <w:rsid w:val="00664A88"/>
    <w:rsid w:val="00673AA9"/>
    <w:rsid w:val="00676A01"/>
    <w:rsid w:val="00676E83"/>
    <w:rsid w:val="00677090"/>
    <w:rsid w:val="00683210"/>
    <w:rsid w:val="006870E1"/>
    <w:rsid w:val="00695595"/>
    <w:rsid w:val="006A00FC"/>
    <w:rsid w:val="006B1CA3"/>
    <w:rsid w:val="006B6391"/>
    <w:rsid w:val="006D254C"/>
    <w:rsid w:val="006D3F21"/>
    <w:rsid w:val="006E28B6"/>
    <w:rsid w:val="006E548E"/>
    <w:rsid w:val="00711E6D"/>
    <w:rsid w:val="0072242B"/>
    <w:rsid w:val="00722D5C"/>
    <w:rsid w:val="00746712"/>
    <w:rsid w:val="0075224C"/>
    <w:rsid w:val="00754761"/>
    <w:rsid w:val="00755AE3"/>
    <w:rsid w:val="00762642"/>
    <w:rsid w:val="00783BD8"/>
    <w:rsid w:val="00787D9E"/>
    <w:rsid w:val="007B575D"/>
    <w:rsid w:val="007B78FA"/>
    <w:rsid w:val="007C1339"/>
    <w:rsid w:val="007C146F"/>
    <w:rsid w:val="007C269C"/>
    <w:rsid w:val="007D18F4"/>
    <w:rsid w:val="007D1928"/>
    <w:rsid w:val="007E7DAF"/>
    <w:rsid w:val="007F4CEC"/>
    <w:rsid w:val="00806734"/>
    <w:rsid w:val="00830B46"/>
    <w:rsid w:val="0085090C"/>
    <w:rsid w:val="00853789"/>
    <w:rsid w:val="00855D94"/>
    <w:rsid w:val="00861D72"/>
    <w:rsid w:val="00863463"/>
    <w:rsid w:val="00876447"/>
    <w:rsid w:val="008A0ABB"/>
    <w:rsid w:val="008A7FDD"/>
    <w:rsid w:val="008C12D4"/>
    <w:rsid w:val="008C23EE"/>
    <w:rsid w:val="008D2199"/>
    <w:rsid w:val="008D6BD3"/>
    <w:rsid w:val="009030B3"/>
    <w:rsid w:val="0091411C"/>
    <w:rsid w:val="009350F1"/>
    <w:rsid w:val="00940336"/>
    <w:rsid w:val="00953718"/>
    <w:rsid w:val="009632F0"/>
    <w:rsid w:val="0096634B"/>
    <w:rsid w:val="00973DD7"/>
    <w:rsid w:val="009762FD"/>
    <w:rsid w:val="009766E1"/>
    <w:rsid w:val="00976F10"/>
    <w:rsid w:val="009822C7"/>
    <w:rsid w:val="00984A69"/>
    <w:rsid w:val="0098702D"/>
    <w:rsid w:val="00991E98"/>
    <w:rsid w:val="00997D52"/>
    <w:rsid w:val="009A09AF"/>
    <w:rsid w:val="009A5556"/>
    <w:rsid w:val="009B2878"/>
    <w:rsid w:val="009B7453"/>
    <w:rsid w:val="009C0DF6"/>
    <w:rsid w:val="009C6688"/>
    <w:rsid w:val="009C76F4"/>
    <w:rsid w:val="009D0BCB"/>
    <w:rsid w:val="009D7052"/>
    <w:rsid w:val="009F23A5"/>
    <w:rsid w:val="009F31F1"/>
    <w:rsid w:val="00A00B71"/>
    <w:rsid w:val="00A04236"/>
    <w:rsid w:val="00A0520B"/>
    <w:rsid w:val="00A159EE"/>
    <w:rsid w:val="00A1705E"/>
    <w:rsid w:val="00A17E93"/>
    <w:rsid w:val="00A32096"/>
    <w:rsid w:val="00A33F32"/>
    <w:rsid w:val="00A5712D"/>
    <w:rsid w:val="00A616E0"/>
    <w:rsid w:val="00A66F6E"/>
    <w:rsid w:val="00A6785F"/>
    <w:rsid w:val="00A72901"/>
    <w:rsid w:val="00A74A75"/>
    <w:rsid w:val="00A753FA"/>
    <w:rsid w:val="00AB5DAA"/>
    <w:rsid w:val="00AC2819"/>
    <w:rsid w:val="00AD0701"/>
    <w:rsid w:val="00AD1429"/>
    <w:rsid w:val="00AD517D"/>
    <w:rsid w:val="00AF796A"/>
    <w:rsid w:val="00B053E0"/>
    <w:rsid w:val="00B12594"/>
    <w:rsid w:val="00B12F7B"/>
    <w:rsid w:val="00B161BC"/>
    <w:rsid w:val="00B42A0C"/>
    <w:rsid w:val="00B563BA"/>
    <w:rsid w:val="00B56AA0"/>
    <w:rsid w:val="00B64821"/>
    <w:rsid w:val="00B7186D"/>
    <w:rsid w:val="00B75C2A"/>
    <w:rsid w:val="00B8033E"/>
    <w:rsid w:val="00B83F9B"/>
    <w:rsid w:val="00B90F27"/>
    <w:rsid w:val="00B94256"/>
    <w:rsid w:val="00BA5781"/>
    <w:rsid w:val="00BA6099"/>
    <w:rsid w:val="00BB36F2"/>
    <w:rsid w:val="00BC325D"/>
    <w:rsid w:val="00BC6CFD"/>
    <w:rsid w:val="00BD1F26"/>
    <w:rsid w:val="00BE59AD"/>
    <w:rsid w:val="00BE681D"/>
    <w:rsid w:val="00BF1779"/>
    <w:rsid w:val="00C06FD1"/>
    <w:rsid w:val="00C10867"/>
    <w:rsid w:val="00C11AB2"/>
    <w:rsid w:val="00C21732"/>
    <w:rsid w:val="00C24492"/>
    <w:rsid w:val="00C25963"/>
    <w:rsid w:val="00C303E6"/>
    <w:rsid w:val="00C36B87"/>
    <w:rsid w:val="00C37D25"/>
    <w:rsid w:val="00C40C17"/>
    <w:rsid w:val="00C42856"/>
    <w:rsid w:val="00C54416"/>
    <w:rsid w:val="00C72F95"/>
    <w:rsid w:val="00C94907"/>
    <w:rsid w:val="00C95BEE"/>
    <w:rsid w:val="00CB6BF8"/>
    <w:rsid w:val="00CC5245"/>
    <w:rsid w:val="00CE34B0"/>
    <w:rsid w:val="00CF4472"/>
    <w:rsid w:val="00CF4B0B"/>
    <w:rsid w:val="00D22E23"/>
    <w:rsid w:val="00D23EBB"/>
    <w:rsid w:val="00D306CB"/>
    <w:rsid w:val="00D318F9"/>
    <w:rsid w:val="00D33E80"/>
    <w:rsid w:val="00D42A1C"/>
    <w:rsid w:val="00D4788D"/>
    <w:rsid w:val="00D52D5A"/>
    <w:rsid w:val="00D56AFF"/>
    <w:rsid w:val="00D6027B"/>
    <w:rsid w:val="00D65A4E"/>
    <w:rsid w:val="00D730C1"/>
    <w:rsid w:val="00D93227"/>
    <w:rsid w:val="00DB29A8"/>
    <w:rsid w:val="00DD0BC5"/>
    <w:rsid w:val="00DD5E56"/>
    <w:rsid w:val="00DE0372"/>
    <w:rsid w:val="00DE075A"/>
    <w:rsid w:val="00DF1520"/>
    <w:rsid w:val="00E34825"/>
    <w:rsid w:val="00E42879"/>
    <w:rsid w:val="00E47024"/>
    <w:rsid w:val="00E537FB"/>
    <w:rsid w:val="00E5772B"/>
    <w:rsid w:val="00E62512"/>
    <w:rsid w:val="00E735E3"/>
    <w:rsid w:val="00E972B0"/>
    <w:rsid w:val="00EA0461"/>
    <w:rsid w:val="00EB15CD"/>
    <w:rsid w:val="00ED4284"/>
    <w:rsid w:val="00EE2E2F"/>
    <w:rsid w:val="00F0027F"/>
    <w:rsid w:val="00F07A4C"/>
    <w:rsid w:val="00F15E9E"/>
    <w:rsid w:val="00F160CE"/>
    <w:rsid w:val="00F25147"/>
    <w:rsid w:val="00F26D4F"/>
    <w:rsid w:val="00F351A9"/>
    <w:rsid w:val="00F413E8"/>
    <w:rsid w:val="00F464E7"/>
    <w:rsid w:val="00F5277E"/>
    <w:rsid w:val="00F64DA9"/>
    <w:rsid w:val="00F8697B"/>
    <w:rsid w:val="00F9071A"/>
    <w:rsid w:val="00F92D58"/>
    <w:rsid w:val="00F92FA5"/>
    <w:rsid w:val="00FA6E50"/>
    <w:rsid w:val="00FB4859"/>
    <w:rsid w:val="00FD2F98"/>
    <w:rsid w:val="00FD75DB"/>
    <w:rsid w:val="00FE15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EC83D7"/>
  <w15:docId w15:val="{29B03D86-8C5D-4BE2-B28E-51319617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453"/>
    <w:pPr>
      <w:spacing w:after="0" w:line="240" w:lineRule="auto"/>
    </w:pPr>
    <w:rPr>
      <w:rFonts w:eastAsia="Times New Roman" w:cs="Times New Roman"/>
      <w:szCs w:val="24"/>
      <w:lang w:val="en-US"/>
    </w:rPr>
  </w:style>
  <w:style w:type="paragraph" w:styleId="Heading1">
    <w:name w:val="heading 1"/>
    <w:basedOn w:val="Normal"/>
    <w:link w:val="Heading1Char"/>
    <w:uiPriority w:val="9"/>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iPriority w:val="9"/>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iPriority w:val="9"/>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iPriority w:val="9"/>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iPriority w:val="9"/>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table" w:styleId="TableGrid">
    <w:name w:val="Table Grid"/>
    <w:basedOn w:val="TableNormal"/>
    <w:uiPriority w:val="39"/>
    <w:rsid w:val="00BA5781"/>
    <w:pPr>
      <w:spacing w:after="0" w:line="240" w:lineRule="auto"/>
    </w:pPr>
    <w:rPr>
      <w:rFonts w:ascii="Times New Roman" w:eastAsia="Times New Roman" w:hAnsi="Times New Roman" w:cs="Times New Roman"/>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81"/>
    <w:pPr>
      <w:ind w:left="720"/>
      <w:contextualSpacing/>
      <w:jc w:val="both"/>
    </w:pPr>
    <w:rPr>
      <w:rFonts w:ascii="Times New Roman" w:hAnsi="Times New Roman"/>
      <w:sz w:val="22"/>
      <w:lang w:val="et-EE"/>
    </w:rPr>
  </w:style>
  <w:style w:type="paragraph" w:styleId="CommentText">
    <w:name w:val="annotation text"/>
    <w:basedOn w:val="Normal"/>
    <w:link w:val="CommentTextChar"/>
    <w:semiHidden/>
    <w:unhideWhenUsed/>
    <w:rsid w:val="00324D87"/>
    <w:rPr>
      <w:rFonts w:ascii="Calibri" w:hAnsi="Calibri"/>
      <w:szCs w:val="20"/>
      <w:lang w:val="et-EE" w:eastAsia="et-EE"/>
    </w:rPr>
  </w:style>
  <w:style w:type="character" w:customStyle="1" w:styleId="CommentTextChar">
    <w:name w:val="Comment Text Char"/>
    <w:basedOn w:val="DefaultParagraphFont"/>
    <w:link w:val="CommentText"/>
    <w:semiHidden/>
    <w:rsid w:val="00324D87"/>
    <w:rPr>
      <w:rFonts w:ascii="Calibri" w:hAnsi="Calibri" w:cs="Times New Roman"/>
      <w:szCs w:val="20"/>
      <w:lang w:val="et-EE" w:eastAsia="et-EE"/>
    </w:rPr>
  </w:style>
  <w:style w:type="character" w:styleId="Hyperlink">
    <w:name w:val="Hyperlink"/>
    <w:rsid w:val="009B7453"/>
    <w:rPr>
      <w:color w:val="0000FF"/>
      <w:u w:val="single"/>
    </w:rPr>
  </w:style>
  <w:style w:type="character" w:customStyle="1" w:styleId="apple-converted-space">
    <w:name w:val="apple-converted-space"/>
    <w:basedOn w:val="DefaultParagraphFont"/>
    <w:rsid w:val="009B7453"/>
  </w:style>
  <w:style w:type="character" w:styleId="CommentReference">
    <w:name w:val="annotation reference"/>
    <w:basedOn w:val="DefaultParagraphFont"/>
    <w:uiPriority w:val="99"/>
    <w:semiHidden/>
    <w:unhideWhenUsed/>
    <w:rsid w:val="00E42879"/>
    <w:rPr>
      <w:sz w:val="16"/>
      <w:szCs w:val="16"/>
    </w:rPr>
  </w:style>
  <w:style w:type="paragraph" w:styleId="CommentSubject">
    <w:name w:val="annotation subject"/>
    <w:basedOn w:val="CommentText"/>
    <w:next w:val="CommentText"/>
    <w:link w:val="CommentSubjectChar"/>
    <w:uiPriority w:val="99"/>
    <w:semiHidden/>
    <w:unhideWhenUsed/>
    <w:rsid w:val="00E42879"/>
    <w:rPr>
      <w:rFonts w:ascii="Trebuchet MS" w:hAnsi="Trebuchet MS"/>
      <w:b/>
      <w:bCs/>
      <w:lang w:val="en-US" w:eastAsia="en-US"/>
    </w:rPr>
  </w:style>
  <w:style w:type="character" w:customStyle="1" w:styleId="CommentSubjectChar">
    <w:name w:val="Comment Subject Char"/>
    <w:basedOn w:val="CommentTextChar"/>
    <w:link w:val="CommentSubject"/>
    <w:uiPriority w:val="99"/>
    <w:semiHidden/>
    <w:rsid w:val="00E42879"/>
    <w:rPr>
      <w:rFonts w:ascii="Calibri" w:eastAsia="Times New Roman" w:hAnsi="Calibri" w:cs="Times New Roman"/>
      <w:b/>
      <w:bCs/>
      <w:szCs w:val="20"/>
      <w:lang w:val="en-US" w:eastAsia="et-EE"/>
    </w:rPr>
  </w:style>
  <w:style w:type="paragraph" w:styleId="FootnoteText">
    <w:name w:val="footnote text"/>
    <w:basedOn w:val="Normal"/>
    <w:link w:val="FootnoteTextChar"/>
    <w:unhideWhenUsed/>
    <w:rsid w:val="006A00FC"/>
    <w:rPr>
      <w:szCs w:val="20"/>
    </w:rPr>
  </w:style>
  <w:style w:type="character" w:customStyle="1" w:styleId="FootnoteTextChar">
    <w:name w:val="Footnote Text Char"/>
    <w:basedOn w:val="DefaultParagraphFont"/>
    <w:link w:val="FootnoteText"/>
    <w:rsid w:val="006A00FC"/>
    <w:rPr>
      <w:rFonts w:eastAsia="Times New Roman" w:cs="Times New Roman"/>
      <w:szCs w:val="20"/>
      <w:lang w:val="en-US"/>
    </w:rPr>
  </w:style>
  <w:style w:type="character" w:styleId="FootnoteReference">
    <w:name w:val="footnote reference"/>
    <w:basedOn w:val="DefaultParagraphFont"/>
    <w:unhideWhenUsed/>
    <w:rsid w:val="006A00FC"/>
    <w:rPr>
      <w:vertAlign w:val="superscript"/>
    </w:rPr>
  </w:style>
  <w:style w:type="paragraph" w:styleId="Revision">
    <w:name w:val="Revision"/>
    <w:hidden/>
    <w:uiPriority w:val="99"/>
    <w:semiHidden/>
    <w:rsid w:val="00806734"/>
    <w:pPr>
      <w:spacing w:after="0" w:line="240" w:lineRule="auto"/>
    </w:pPr>
    <w:rPr>
      <w:rFonts w:eastAsia="Times New Roman" w:cs="Times New Roman"/>
      <w:szCs w:val="24"/>
      <w:lang w:val="en-US"/>
    </w:rPr>
  </w:style>
  <w:style w:type="character" w:styleId="FollowedHyperlink">
    <w:name w:val="FollowedHyperlink"/>
    <w:basedOn w:val="DefaultParagraphFont"/>
    <w:uiPriority w:val="99"/>
    <w:semiHidden/>
    <w:unhideWhenUsed/>
    <w:rsid w:val="003236E0"/>
    <w:rPr>
      <w:color w:val="800080" w:themeColor="followedHyperlink"/>
      <w:u w:val="single"/>
    </w:rPr>
  </w:style>
  <w:style w:type="paragraph" w:styleId="NormalWeb">
    <w:name w:val="Normal (Web)"/>
    <w:basedOn w:val="Normal"/>
    <w:uiPriority w:val="99"/>
    <w:semiHidden/>
    <w:unhideWhenUsed/>
    <w:rsid w:val="003236E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78582">
      <w:bodyDiv w:val="1"/>
      <w:marLeft w:val="0"/>
      <w:marRight w:val="0"/>
      <w:marTop w:val="0"/>
      <w:marBottom w:val="0"/>
      <w:divBdr>
        <w:top w:val="none" w:sz="0" w:space="0" w:color="auto"/>
        <w:left w:val="none" w:sz="0" w:space="0" w:color="auto"/>
        <w:bottom w:val="none" w:sz="0" w:space="0" w:color="auto"/>
        <w:right w:val="none" w:sz="0" w:space="0" w:color="auto"/>
      </w:divBdr>
    </w:div>
    <w:div w:id="1291739842">
      <w:bodyDiv w:val="1"/>
      <w:marLeft w:val="0"/>
      <w:marRight w:val="0"/>
      <w:marTop w:val="0"/>
      <w:marBottom w:val="0"/>
      <w:divBdr>
        <w:top w:val="none" w:sz="0" w:space="0" w:color="auto"/>
        <w:left w:val="none" w:sz="0" w:space="0" w:color="auto"/>
        <w:bottom w:val="none" w:sz="0" w:space="0" w:color="auto"/>
        <w:right w:val="none" w:sz="0" w:space="0" w:color="auto"/>
      </w:divBdr>
    </w:div>
    <w:div w:id="1412658695">
      <w:bodyDiv w:val="1"/>
      <w:marLeft w:val="0"/>
      <w:marRight w:val="0"/>
      <w:marTop w:val="0"/>
      <w:marBottom w:val="0"/>
      <w:divBdr>
        <w:top w:val="none" w:sz="0" w:space="0" w:color="auto"/>
        <w:left w:val="none" w:sz="0" w:space="0" w:color="auto"/>
        <w:bottom w:val="none" w:sz="0" w:space="0" w:color="auto"/>
        <w:right w:val="none" w:sz="0" w:space="0" w:color="auto"/>
      </w:divBdr>
    </w:div>
    <w:div w:id="1515269732">
      <w:bodyDiv w:val="1"/>
      <w:marLeft w:val="0"/>
      <w:marRight w:val="0"/>
      <w:marTop w:val="0"/>
      <w:marBottom w:val="0"/>
      <w:divBdr>
        <w:top w:val="none" w:sz="0" w:space="0" w:color="auto"/>
        <w:left w:val="none" w:sz="0" w:space="0" w:color="auto"/>
        <w:bottom w:val="none" w:sz="0" w:space="0" w:color="auto"/>
        <w:right w:val="none" w:sz="0" w:space="0" w:color="auto"/>
      </w:divBdr>
    </w:div>
    <w:div w:id="18845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old.tenusaar@politsei.ee" TargetMode="External"/><Relationship Id="rId18" Type="http://schemas.openxmlformats.org/officeDocument/2006/relationships/hyperlink" Target="http://www.btc.e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itstamp.net" TargetMode="External"/><Relationship Id="rId7" Type="http://schemas.openxmlformats.org/officeDocument/2006/relationships/settings" Target="settings.xml"/><Relationship Id="rId12" Type="http://schemas.openxmlformats.org/officeDocument/2006/relationships/hyperlink" Target="mailto:menetlus@glimstedt.ee" TargetMode="External"/><Relationship Id="rId17" Type="http://schemas.openxmlformats.org/officeDocument/2006/relationships/hyperlink" Target="http://www.btc.e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tc.ee" TargetMode="External"/><Relationship Id="rId20" Type="http://schemas.openxmlformats.org/officeDocument/2006/relationships/hyperlink" Target="http://www.krak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de-voogd.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tc.e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itcoin.d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tc.e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valitsus.ee/sites/default/files/content-editors/failid/re-sde-irl-valitsusliidu-lepe-2015.pdf" TargetMode="External"/><Relationship Id="rId3" Type="http://schemas.openxmlformats.org/officeDocument/2006/relationships/hyperlink" Target="http://www.fatf-gafi.org/media/fatf/documents/reports/Guidance-RBA-Virtual-Currencies.pdf" TargetMode="External"/><Relationship Id="rId7" Type="http://schemas.openxmlformats.org/officeDocument/2006/relationships/hyperlink" Target="http://hudoc.echr.coe.int/sites/eng/pages/search.aspx?i=001-57584" TargetMode="External"/><Relationship Id="rId2" Type="http://schemas.openxmlformats.org/officeDocument/2006/relationships/hyperlink" Target="http://www.imf.org/external/pubs/ft/mfsmcg/c4.pdf?p=cite_ltb" TargetMode="External"/><Relationship Id="rId1" Type="http://schemas.openxmlformats.org/officeDocument/2006/relationships/hyperlink" Target="https://www.politsei.ee/dotAsset/27893.pdf" TargetMode="External"/><Relationship Id="rId6" Type="http://schemas.openxmlformats.org/officeDocument/2006/relationships/hyperlink" Target="http://eur-lex.europa.eu/legal-content/ET/TXT/PDF/?uri=CELEX:52013PC0045&amp;from=EN" TargetMode="External"/><Relationship Id="rId5" Type="http://schemas.openxmlformats.org/officeDocument/2006/relationships/hyperlink" Target="http://www.bititim.com/btcevent/" TargetMode="External"/><Relationship Id="rId10" Type="http://schemas.openxmlformats.org/officeDocument/2006/relationships/hyperlink" Target="http://www.scribd.com/doc/249854692/Estonia-Submits-Opinion-on-Bitcoin-Tax-at-European-Court-of-Justice" TargetMode="External"/><Relationship Id="rId4" Type="http://schemas.openxmlformats.org/officeDocument/2006/relationships/hyperlink" Target="http://www.fatf-gafi.org/media/fatf/documents/reports/Virtual-currency-key-definitions-and-potential-aml-cft-risks.pdf" TargetMode="External"/><Relationship Id="rId9" Type="http://schemas.openxmlformats.org/officeDocument/2006/relationships/hyperlink" Target="https://en.wikipedia.org/wiki/List_of_cryptocurr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esktop\Failid%20t&#245;stmiseks\Glimstedt%20A4_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6E6E6B4CEAF44BD870C2AB6D30879" ma:contentTypeVersion="0" ma:contentTypeDescription="Loo uus dokument" ma:contentTypeScope="" ma:versionID="16193859ac7b9b05b05e50a97e32d2e8">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BCCF-3C57-476B-B4D2-E874D962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9516C-4F84-4A1F-8A94-B95D9AC9CC1A}">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6626487B-FA3B-48BA-B100-4B38DB286135}">
  <ds:schemaRefs>
    <ds:schemaRef ds:uri="http://schemas.microsoft.com/sharepoint/v3/contenttype/forms"/>
  </ds:schemaRefs>
</ds:datastoreItem>
</file>

<file path=customXml/itemProps4.xml><?xml version="1.0" encoding="utf-8"?>
<ds:datastoreItem xmlns:ds="http://schemas.openxmlformats.org/officeDocument/2006/customXml" ds:itemID="{20DA8C51-895E-4D3E-823E-A37AE6DD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Glimstedt A4_EE.dotx</Template>
  <TotalTime>281</TotalTime>
  <Pages>12</Pages>
  <Words>6138</Words>
  <Characters>35604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AOLA</Company>
  <LinksUpToDate>false</LinksUpToDate>
  <CharactersWithSpaces>41659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Vaim</dc:creator>
  <cp:lastModifiedBy>Priit Lätt</cp:lastModifiedBy>
  <cp:revision>48</cp:revision>
  <cp:lastPrinted>2015-07-20T12:50:00Z</cp:lastPrinted>
  <dcterms:created xsi:type="dcterms:W3CDTF">2015-07-20T11:52:00Z</dcterms:created>
  <dcterms:modified xsi:type="dcterms:W3CDTF">2015-07-20T17:34:00Z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0x0101007E06E6E6B4CEAF44BD870C2AB6D30879</vt:lpwstr>
  </property>
</Properties>
</file>