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A81B" w14:textId="77777777" w:rsidR="00AA257A" w:rsidRDefault="00AA257A"/>
    <w:tbl>
      <w:tblPr>
        <w:tblpPr w:leftFromText="142" w:rightFromText="142" w:vertAnchor="text" w:horzAnchor="margin" w:tblpY="209"/>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15" w:type="dxa"/>
        </w:tblCellMar>
        <w:tblLook w:val="01E0" w:firstRow="1" w:lastRow="1" w:firstColumn="1" w:lastColumn="1" w:noHBand="0" w:noVBand="0"/>
      </w:tblPr>
      <w:tblGrid>
        <w:gridCol w:w="5216"/>
        <w:gridCol w:w="737"/>
        <w:gridCol w:w="3622"/>
      </w:tblGrid>
      <w:tr w:rsidR="00485579" w14:paraId="44EB9513" w14:textId="77777777" w:rsidTr="00080061">
        <w:trPr>
          <w:trHeight w:hRule="exact" w:val="482"/>
        </w:trPr>
        <w:tc>
          <w:tcPr>
            <w:tcW w:w="5216" w:type="dxa"/>
            <w:vMerge w:val="restart"/>
            <w:tcBorders>
              <w:top w:val="nil"/>
              <w:left w:val="nil"/>
              <w:bottom w:val="nil"/>
              <w:right w:val="nil"/>
            </w:tcBorders>
            <w:shd w:val="clear" w:color="auto" w:fill="auto"/>
          </w:tcPr>
          <w:p w14:paraId="5895DEE3" w14:textId="77777777" w:rsidR="00AA257A" w:rsidRPr="00080061" w:rsidRDefault="00AA257A" w:rsidP="00080061">
            <w:pPr>
              <w:rPr>
                <w:b/>
              </w:rPr>
            </w:pPr>
            <w:r w:rsidRPr="00080061">
              <w:rPr>
                <w:b/>
              </w:rPr>
              <w:t>RIIGIKOHUS</w:t>
            </w:r>
          </w:p>
          <w:p w14:paraId="08948475" w14:textId="77777777" w:rsidR="00AA257A" w:rsidRDefault="00AA257A" w:rsidP="00080061">
            <w:r>
              <w:t>Lossi 17,</w:t>
            </w:r>
          </w:p>
          <w:p w14:paraId="44AA35C0" w14:textId="77777777" w:rsidR="00AA257A" w:rsidRDefault="00AA257A" w:rsidP="00080061">
            <w:r>
              <w:t>50093 TARTU</w:t>
            </w:r>
          </w:p>
          <w:p w14:paraId="50DCD7E6" w14:textId="77777777" w:rsidR="00080061" w:rsidRDefault="00080061" w:rsidP="00080061"/>
          <w:p w14:paraId="43536187" w14:textId="77777777" w:rsidR="00080061" w:rsidRDefault="00D36A09" w:rsidP="00080061">
            <w:pPr>
              <w:rPr>
                <w:b/>
              </w:rPr>
            </w:pPr>
            <w:hyperlink r:id="rId7" w:history="1">
              <w:r w:rsidR="00AA257A" w:rsidRPr="009E7234">
                <w:rPr>
                  <w:rStyle w:val="Hyperlink"/>
                </w:rPr>
                <w:t>info@riigikohus.ee</w:t>
              </w:r>
            </w:hyperlink>
            <w:r w:rsidR="00080061" w:rsidRPr="00080061">
              <w:rPr>
                <w:b/>
              </w:rPr>
              <w:t xml:space="preserve"> </w:t>
            </w:r>
          </w:p>
          <w:p w14:paraId="70D1631D" w14:textId="77777777" w:rsidR="00080061" w:rsidRDefault="00080061" w:rsidP="00080061">
            <w:pPr>
              <w:rPr>
                <w:b/>
              </w:rPr>
            </w:pPr>
          </w:p>
          <w:p w14:paraId="2BD43F08" w14:textId="77777777" w:rsidR="00E10147" w:rsidRPr="00080061" w:rsidRDefault="00E10147" w:rsidP="00080061"/>
        </w:tc>
        <w:tc>
          <w:tcPr>
            <w:tcW w:w="737" w:type="dxa"/>
            <w:tcBorders>
              <w:top w:val="nil"/>
              <w:left w:val="nil"/>
              <w:bottom w:val="nil"/>
              <w:right w:val="nil"/>
            </w:tcBorders>
          </w:tcPr>
          <w:p w14:paraId="0882D42D" w14:textId="77777777" w:rsidR="00485579" w:rsidRDefault="00485579" w:rsidP="00080061"/>
        </w:tc>
        <w:tc>
          <w:tcPr>
            <w:tcW w:w="3622" w:type="dxa"/>
            <w:tcBorders>
              <w:top w:val="nil"/>
              <w:left w:val="nil"/>
              <w:bottom w:val="nil"/>
              <w:right w:val="nil"/>
            </w:tcBorders>
          </w:tcPr>
          <w:p w14:paraId="1E1273A7" w14:textId="77777777" w:rsidR="0041149E" w:rsidRDefault="0041149E" w:rsidP="00080061"/>
        </w:tc>
      </w:tr>
      <w:tr w:rsidR="00485579" w14:paraId="37CE6935" w14:textId="77777777" w:rsidTr="00080061">
        <w:trPr>
          <w:trHeight w:hRule="exact" w:val="1913"/>
        </w:trPr>
        <w:tc>
          <w:tcPr>
            <w:tcW w:w="5216" w:type="dxa"/>
            <w:vMerge/>
            <w:tcBorders>
              <w:top w:val="nil"/>
              <w:left w:val="nil"/>
              <w:bottom w:val="nil"/>
              <w:right w:val="nil"/>
            </w:tcBorders>
            <w:shd w:val="clear" w:color="auto" w:fill="auto"/>
          </w:tcPr>
          <w:p w14:paraId="1CC2D7B7" w14:textId="77777777" w:rsidR="00485579" w:rsidRDefault="00485579" w:rsidP="00080061"/>
        </w:tc>
        <w:tc>
          <w:tcPr>
            <w:tcW w:w="737" w:type="dxa"/>
            <w:tcBorders>
              <w:top w:val="nil"/>
              <w:left w:val="nil"/>
              <w:bottom w:val="nil"/>
              <w:right w:val="nil"/>
            </w:tcBorders>
          </w:tcPr>
          <w:p w14:paraId="79DA4AD6" w14:textId="77777777" w:rsidR="00485579" w:rsidRDefault="00485579" w:rsidP="00080061"/>
        </w:tc>
        <w:tc>
          <w:tcPr>
            <w:tcW w:w="3622" w:type="dxa"/>
            <w:tcBorders>
              <w:top w:val="nil"/>
              <w:left w:val="nil"/>
              <w:bottom w:val="nil"/>
              <w:right w:val="nil"/>
            </w:tcBorders>
          </w:tcPr>
          <w:p w14:paraId="4675FF42" w14:textId="535C9A89" w:rsidR="00485579" w:rsidRDefault="00080061" w:rsidP="00C84154">
            <w:pPr>
              <w:ind w:left="1702"/>
            </w:pPr>
            <w:r>
              <w:t>1</w:t>
            </w:r>
            <w:r w:rsidR="00C84154">
              <w:t>2</w:t>
            </w:r>
            <w:r>
              <w:t>. jaanuar 2016</w:t>
            </w:r>
          </w:p>
        </w:tc>
      </w:tr>
      <w:tr w:rsidR="00485579" w14:paraId="141631BB" w14:textId="77777777" w:rsidTr="00080061">
        <w:tc>
          <w:tcPr>
            <w:tcW w:w="9575" w:type="dxa"/>
            <w:gridSpan w:val="3"/>
            <w:tcBorders>
              <w:top w:val="nil"/>
              <w:left w:val="nil"/>
              <w:bottom w:val="nil"/>
              <w:right w:val="nil"/>
            </w:tcBorders>
            <w:shd w:val="clear" w:color="auto" w:fill="auto"/>
          </w:tcPr>
          <w:p w14:paraId="04A6F51E" w14:textId="77777777" w:rsidR="00F07672" w:rsidRDefault="00F07672" w:rsidP="00080061"/>
        </w:tc>
      </w:tr>
    </w:tbl>
    <w:p w14:paraId="327E7E65" w14:textId="77777777" w:rsidR="00F53E3C" w:rsidRDefault="00F53E3C" w:rsidP="009B6CE7"/>
    <w:p w14:paraId="7AD17CD5" w14:textId="77777777" w:rsidR="00C84154" w:rsidRDefault="00C84154" w:rsidP="009B6CE7"/>
    <w:p w14:paraId="51AEFBA0" w14:textId="77777777" w:rsidR="00C84154" w:rsidRDefault="00C84154" w:rsidP="009B6CE7"/>
    <w:p w14:paraId="40F819E4" w14:textId="77777777" w:rsidR="00C84154" w:rsidRDefault="00C84154" w:rsidP="009B6CE7"/>
    <w:p w14:paraId="090627D5" w14:textId="77777777" w:rsidR="00C84154" w:rsidRDefault="00C84154" w:rsidP="009B6CE7"/>
    <w:p w14:paraId="3AB98935" w14:textId="77777777" w:rsidR="00C84154" w:rsidRDefault="00C84154" w:rsidP="009B6CE7"/>
    <w:p w14:paraId="39C3A9A8" w14:textId="77777777" w:rsidR="00F53E3C" w:rsidRPr="00C84154" w:rsidRDefault="00080061" w:rsidP="00C84154">
      <w:pPr>
        <w:jc w:val="center"/>
        <w:rPr>
          <w:b/>
          <w:smallCaps/>
        </w:rPr>
      </w:pPr>
      <w:r w:rsidRPr="00C84154">
        <w:rPr>
          <w:b/>
          <w:smallCaps/>
        </w:rPr>
        <w:t>Finantsinspektsiooni arvamus</w:t>
      </w:r>
    </w:p>
    <w:p w14:paraId="22505804" w14:textId="77777777" w:rsidR="00CD712B" w:rsidRPr="00CD712B" w:rsidRDefault="00CD712B" w:rsidP="00C84154">
      <w:pPr>
        <w:jc w:val="center"/>
      </w:pPr>
      <w:r w:rsidRPr="00CD712B">
        <w:t>haldusasjas 3-3-1-75-15</w:t>
      </w:r>
    </w:p>
    <w:p w14:paraId="7F4D5DF4" w14:textId="77777777" w:rsidR="00F53E3C" w:rsidRDefault="00F53E3C" w:rsidP="009B6CE7"/>
    <w:p w14:paraId="48D38939" w14:textId="77777777" w:rsidR="00BD3A7A" w:rsidRDefault="00BD3A7A" w:rsidP="00390828">
      <w:pPr>
        <w:jc w:val="both"/>
      </w:pPr>
    </w:p>
    <w:p w14:paraId="764427F8" w14:textId="77777777" w:rsidR="009B1AC6" w:rsidRDefault="00BD3A7A" w:rsidP="00BD3A7A">
      <w:pPr>
        <w:jc w:val="both"/>
      </w:pPr>
      <w:r w:rsidRPr="00BD3A7A">
        <w:t xml:space="preserve">Finantsinspektsiooni seaduse (edaspidi </w:t>
      </w:r>
      <w:r w:rsidRPr="00BD3A7A">
        <w:rPr>
          <w:i/>
        </w:rPr>
        <w:t>FIS</w:t>
      </w:r>
      <w:r w:rsidRPr="00BD3A7A">
        <w:t xml:space="preserve">) § 2 </w:t>
      </w:r>
      <w:r w:rsidR="002F7F92">
        <w:t>l</w:t>
      </w:r>
      <w:r w:rsidR="007A5218">
        <w:t>õike</w:t>
      </w:r>
      <w:r w:rsidR="002F7F92">
        <w:t xml:space="preserve"> 1 </w:t>
      </w:r>
      <w:r w:rsidRPr="00BD3A7A">
        <w:t xml:space="preserve">tähenduses teostab Finantsinspektsioon </w:t>
      </w:r>
      <w:r>
        <w:t xml:space="preserve">riiklikku finantsjärelevalvet </w:t>
      </w:r>
      <w:r w:rsidRPr="00BD3A7A">
        <w:t>finantsjärelevalve subjektide</w:t>
      </w:r>
      <w:r>
        <w:t xml:space="preserve"> üle ning FIS-s, </w:t>
      </w:r>
      <w:r w:rsidRPr="00BD3A7A">
        <w:t>krediidiasutuste seaduses, krediidian</w:t>
      </w:r>
      <w:r w:rsidR="003D416B">
        <w:t xml:space="preserve">djate ja -vahendajate seaduses, </w:t>
      </w:r>
      <w:r w:rsidRPr="00BD3A7A">
        <w:t>kindlustustegevuse seaduses, investeerimisfondide seaduses, kogumispensionide seaduses, väärtpaberituru seaduses, liikluskindlustuse seaduses, makseasutuste ja e-raha asutuste seaduses ja Eesti väärtpaberite keskregistri seaduses ning nende alusel kehtestatud õigusaktides sätestatud tegevuse üle</w:t>
      </w:r>
      <w:r>
        <w:t xml:space="preserve">. </w:t>
      </w:r>
    </w:p>
    <w:p w14:paraId="2FBE5440" w14:textId="77777777" w:rsidR="009B1AC6" w:rsidRDefault="009B1AC6" w:rsidP="00BD3A7A">
      <w:pPr>
        <w:jc w:val="both"/>
      </w:pPr>
    </w:p>
    <w:p w14:paraId="33B2D82B" w14:textId="77777777" w:rsidR="00BD3A7A" w:rsidRDefault="00BD3A7A" w:rsidP="00BD3A7A">
      <w:pPr>
        <w:jc w:val="both"/>
      </w:pPr>
      <w:r>
        <w:t xml:space="preserve">Finantsjärelevalve subjektiks on isik, kellele on FIS § 2 </w:t>
      </w:r>
      <w:r w:rsidR="007A5218">
        <w:t>lõike</w:t>
      </w:r>
      <w:r>
        <w:t xml:space="preserve">s 1 nimetatud seaduse alusel </w:t>
      </w:r>
      <w:r w:rsidR="002F7F92">
        <w:t>antud pädeva organi poolt tegutsemise õigus vastaval tegevusalal. Finantsinspektsioon on ka FIS §</w:t>
      </w:r>
      <w:r w:rsidR="007A5218">
        <w:t xml:space="preserve"> 2 lõike</w:t>
      </w:r>
      <w:r w:rsidR="002F7F92">
        <w:t xml:space="preserve"> 3 ja </w:t>
      </w:r>
      <w:r w:rsidR="002F7F92" w:rsidRPr="007A5218">
        <w:rPr>
          <w:bCs/>
        </w:rPr>
        <w:t>finantskriisi ennetamise ja lahendamise seadus</w:t>
      </w:r>
      <w:r w:rsidR="002F7F92" w:rsidRPr="007A5218">
        <w:t>e</w:t>
      </w:r>
      <w:r w:rsidR="007A5218" w:rsidRPr="007A5218">
        <w:t xml:space="preserve"> </w:t>
      </w:r>
      <w:r w:rsidR="002F7F92" w:rsidRPr="007A5218">
        <w:t>tähenduses</w:t>
      </w:r>
      <w:r w:rsidR="002F7F92">
        <w:t xml:space="preserve"> finantskriis lahendamise asutuseks. </w:t>
      </w:r>
    </w:p>
    <w:p w14:paraId="6F1BB6F2" w14:textId="77777777" w:rsidR="002F7F92" w:rsidRDefault="002F7F92" w:rsidP="00BD3A7A">
      <w:pPr>
        <w:jc w:val="both"/>
      </w:pPr>
    </w:p>
    <w:p w14:paraId="15464D24" w14:textId="77777777" w:rsidR="002F7F92" w:rsidRPr="007A5218" w:rsidRDefault="002F7F92" w:rsidP="00BD3A7A">
      <w:pPr>
        <w:jc w:val="both"/>
        <w:rPr>
          <w:u w:val="single"/>
        </w:rPr>
      </w:pPr>
      <w:r>
        <w:t xml:space="preserve">Otto Albert </w:t>
      </w:r>
      <w:r w:rsidR="007A5218">
        <w:t xml:space="preserve">de </w:t>
      </w:r>
      <w:r>
        <w:t>Voogd ja/või tema tegevus ei ole Finantsinspektsioonile teadaolevalt finantsjärelevalve all ning Finantsinspektsioon ei teosta järelevalvet ka internetilehekülje</w:t>
      </w:r>
      <w:r w:rsidRPr="002F7F92">
        <w:t xml:space="preserve"> </w:t>
      </w:r>
      <w:hyperlink r:id="rId8" w:history="1">
        <w:r w:rsidRPr="002F7F92">
          <w:rPr>
            <w:rStyle w:val="Hyperlink"/>
          </w:rPr>
          <w:t>www.bitcoin.ee</w:t>
        </w:r>
      </w:hyperlink>
      <w:r>
        <w:t xml:space="preserve"> vahendusel toimuva üle. </w:t>
      </w:r>
    </w:p>
    <w:p w14:paraId="450A0EDB" w14:textId="77777777" w:rsidR="00BD3A7A" w:rsidRDefault="00BD3A7A" w:rsidP="00390828">
      <w:pPr>
        <w:jc w:val="both"/>
      </w:pPr>
    </w:p>
    <w:p w14:paraId="2DE8CAEA" w14:textId="77777777" w:rsidR="00975F90" w:rsidRDefault="002F7F92" w:rsidP="00390828">
      <w:pPr>
        <w:jc w:val="both"/>
      </w:pPr>
      <w:r>
        <w:t xml:space="preserve">Eeltoodut arvestades esitab </w:t>
      </w:r>
      <w:r w:rsidR="00390828">
        <w:t xml:space="preserve">Finantsinspektsioon vastused Riigikohtu halduskolleegiumi 19. novembri 2015. aasta kohtumääruses esitatud kaheksale küsimusele, mis seonduvad Politsei- ja Piirivalveameti rahapesu andmebüroo (edaspidi </w:t>
      </w:r>
      <w:r w:rsidR="00390828" w:rsidRPr="007A5218">
        <w:rPr>
          <w:i/>
        </w:rPr>
        <w:t>RAB</w:t>
      </w:r>
      <w:r w:rsidR="00390828">
        <w:t>) 24. märtsi 2014. aasta ettekirjutusega Otto Albert de Voogdi</w:t>
      </w:r>
      <w:r w:rsidR="001F33E6">
        <w:t xml:space="preserve">le. </w:t>
      </w:r>
    </w:p>
    <w:p w14:paraId="56BD474D" w14:textId="77777777" w:rsidR="00975F90" w:rsidRDefault="00975F90" w:rsidP="00390828">
      <w:pPr>
        <w:jc w:val="both"/>
      </w:pPr>
    </w:p>
    <w:p w14:paraId="36653C13" w14:textId="77777777" w:rsidR="002F7F92" w:rsidRDefault="001F33E6" w:rsidP="00390828">
      <w:pPr>
        <w:jc w:val="both"/>
      </w:pPr>
      <w:r>
        <w:t xml:space="preserve">Ettekirjutusega kohustati Otto Albert de Voogdi esitama kirjalikku teavet oma tegevuse kohta seoses internetileheküljega </w:t>
      </w:r>
      <w:hyperlink r:id="rId9" w:history="1">
        <w:r w:rsidRPr="009E7234">
          <w:rPr>
            <w:rStyle w:val="Hyperlink"/>
          </w:rPr>
          <w:t>www.bitcoin.ee</w:t>
        </w:r>
      </w:hyperlink>
      <w:r>
        <w:t xml:space="preserve">, millel pakuti võimalust osta ja müüa teatud teenuse pakkujate juures rahalist väärtust omavaid ühikuid nimega bitcoin. </w:t>
      </w:r>
      <w:r w:rsidR="00866D73">
        <w:t>Ettekirjutuse adressaadile esitati kuus küsimust bitcoinide ostmise ja müümise teenuse osutamise kohta ning paluti esitada klientide andmed.</w:t>
      </w:r>
    </w:p>
    <w:p w14:paraId="64BE7C57" w14:textId="77777777" w:rsidR="00975F90" w:rsidRDefault="00975F90" w:rsidP="00390828">
      <w:pPr>
        <w:jc w:val="both"/>
      </w:pPr>
    </w:p>
    <w:p w14:paraId="7AB514D5" w14:textId="77777777" w:rsidR="00975F90" w:rsidRDefault="00975F90" w:rsidP="00390828">
      <w:pPr>
        <w:jc w:val="both"/>
      </w:pPr>
    </w:p>
    <w:p w14:paraId="0FED198E" w14:textId="77777777" w:rsidR="002F7F92" w:rsidRPr="002F7F92" w:rsidRDefault="002F7F92" w:rsidP="00390828">
      <w:pPr>
        <w:jc w:val="both"/>
        <w:rPr>
          <w:b/>
          <w:i/>
        </w:rPr>
      </w:pPr>
      <w:r w:rsidRPr="002F7F92">
        <w:rPr>
          <w:b/>
        </w:rPr>
        <w:lastRenderedPageBreak/>
        <w:t xml:space="preserve">Küsimus nr </w:t>
      </w:r>
      <w:r w:rsidR="00B7351A" w:rsidRPr="002F7F92">
        <w:rPr>
          <w:b/>
        </w:rPr>
        <w:t>1</w:t>
      </w:r>
    </w:p>
    <w:p w14:paraId="15FA1EE6" w14:textId="77777777" w:rsidR="00455789" w:rsidRDefault="00455789" w:rsidP="00390828">
      <w:pPr>
        <w:jc w:val="both"/>
        <w:rPr>
          <w:b/>
          <w:i/>
        </w:rPr>
      </w:pPr>
    </w:p>
    <w:p w14:paraId="37802DE1" w14:textId="77777777" w:rsidR="00D04D01" w:rsidRPr="009D7DD9" w:rsidRDefault="005B4097" w:rsidP="00390828">
      <w:pPr>
        <w:jc w:val="both"/>
        <w:rPr>
          <w:b/>
          <w:i/>
        </w:rPr>
      </w:pPr>
      <w:r w:rsidRPr="009D7DD9">
        <w:rPr>
          <w:b/>
          <w:i/>
        </w:rPr>
        <w:t>Kas bitcoinide vahetamisteenuse tasu eest pakkuja, olenemata sellest, kas teenuse pakkuja vahendab ostjat ja müüjat või on ise bitcoinide ostjaks või müüjaks, on käsitatav rahapesu ja terrorismi rahastamise tõkestamise seaduse (edaspidi RahaPTS) § 6 lõikes 4 sätestatud alternatiivsete maksevahendite teenuse pakkujana? Kas nimetatud norm laiendab rahapesuvastast järelevalv</w:t>
      </w:r>
      <w:r w:rsidR="009D7DD9">
        <w:rPr>
          <w:b/>
          <w:i/>
        </w:rPr>
        <w:t>et ka krüptorahade (antud juhul</w:t>
      </w:r>
      <w:r w:rsidRPr="009D7DD9">
        <w:rPr>
          <w:b/>
          <w:i/>
        </w:rPr>
        <w:t xml:space="preserve"> bitcoin) müügitehinguid vahendavate isikute tegevusele olukorras, kus õigusakti väljatöötamise ja vastuvõtmise hetkel ei olnud bitcoine veel loodud?</w:t>
      </w:r>
    </w:p>
    <w:p w14:paraId="4B6CDFCA" w14:textId="77777777" w:rsidR="00D04D01" w:rsidRDefault="00D04D01" w:rsidP="00390828">
      <w:pPr>
        <w:jc w:val="both"/>
      </w:pPr>
    </w:p>
    <w:p w14:paraId="2AD21410" w14:textId="77777777" w:rsidR="002F7F92" w:rsidRPr="007A5218" w:rsidRDefault="002F7F92" w:rsidP="00390828">
      <w:pPr>
        <w:jc w:val="both"/>
        <w:rPr>
          <w:b/>
        </w:rPr>
      </w:pPr>
      <w:r w:rsidRPr="007A5218">
        <w:rPr>
          <w:b/>
        </w:rPr>
        <w:t>Finantsinspektsiooni vastus</w:t>
      </w:r>
    </w:p>
    <w:p w14:paraId="58586ED2" w14:textId="77777777" w:rsidR="002F7F92" w:rsidRDefault="002F7F92" w:rsidP="00390828">
      <w:pPr>
        <w:jc w:val="both"/>
      </w:pPr>
    </w:p>
    <w:p w14:paraId="53A0534B" w14:textId="77777777" w:rsidR="00D04D01" w:rsidRPr="003D3CD1" w:rsidRDefault="009D1E32" w:rsidP="00455789">
      <w:pPr>
        <w:ind w:left="284"/>
        <w:rPr>
          <w:i/>
        </w:rPr>
      </w:pPr>
      <w:r>
        <w:rPr>
          <w:i/>
        </w:rPr>
        <w:t>A</w:t>
      </w:r>
      <w:r w:rsidR="00202592" w:rsidRPr="003D3CD1">
        <w:rPr>
          <w:i/>
        </w:rPr>
        <w:t>lternatiiv</w:t>
      </w:r>
      <w:r>
        <w:rPr>
          <w:i/>
        </w:rPr>
        <w:t>s</w:t>
      </w:r>
      <w:r w:rsidR="00202592" w:rsidRPr="003D3CD1">
        <w:rPr>
          <w:i/>
        </w:rPr>
        <w:t>e</w:t>
      </w:r>
      <w:r>
        <w:rPr>
          <w:i/>
        </w:rPr>
        <w:t>te</w:t>
      </w:r>
      <w:r w:rsidR="00202592" w:rsidRPr="003D3CD1">
        <w:rPr>
          <w:i/>
        </w:rPr>
        <w:t xml:space="preserve"> maksevahend</w:t>
      </w:r>
      <w:r>
        <w:rPr>
          <w:i/>
        </w:rPr>
        <w:t>ite teenuste pakkuja</w:t>
      </w:r>
    </w:p>
    <w:p w14:paraId="48A83864" w14:textId="77777777" w:rsidR="00CE3219" w:rsidRDefault="00CE3219" w:rsidP="00455789">
      <w:pPr>
        <w:widowControl w:val="0"/>
        <w:autoSpaceDE w:val="0"/>
        <w:autoSpaceDN w:val="0"/>
        <w:adjustRightInd w:val="0"/>
        <w:ind w:left="284"/>
        <w:jc w:val="both"/>
      </w:pPr>
    </w:p>
    <w:p w14:paraId="78882D7D" w14:textId="0B043FF5" w:rsidR="009E1B86" w:rsidRDefault="005B4097" w:rsidP="00455789">
      <w:pPr>
        <w:widowControl w:val="0"/>
        <w:autoSpaceDE w:val="0"/>
        <w:autoSpaceDN w:val="0"/>
        <w:adjustRightInd w:val="0"/>
        <w:ind w:left="284"/>
        <w:jc w:val="both"/>
      </w:pPr>
      <w:r>
        <w:t>RahaPTS</w:t>
      </w:r>
      <w:r w:rsidR="004F34AD" w:rsidRPr="00B44C16">
        <w:t xml:space="preserve"> § 6 lõike 4 kohaselt on alternatiivsete maksevahendite teenuse pakkuja isik, kes oma majandus- või kutsetegevuse käigus ostab, müüb või vahendab side</w:t>
      </w:r>
      <w:r w:rsidR="004F34AD" w:rsidRPr="00B44C16">
        <w:noBreakHyphen/>
        <w:t>, ülekande- või kliiringsüsteemi kaudu rahalist väärtust omavaid vahendeid, mille abil on võimalik täita rahalisi kohustusi või mida saab vahetada kehtiva vääringu vastu, kuid kes ei ole RahaPTS § 6 lõikes 1 nimetatud isik ega finantseerimisasutus krediidiasutuste seaduse tähenduses.</w:t>
      </w:r>
    </w:p>
    <w:p w14:paraId="1B461A76" w14:textId="77777777" w:rsidR="009E1B86" w:rsidRDefault="009E1B86" w:rsidP="00455789">
      <w:pPr>
        <w:widowControl w:val="0"/>
        <w:autoSpaceDE w:val="0"/>
        <w:autoSpaceDN w:val="0"/>
        <w:adjustRightInd w:val="0"/>
        <w:ind w:left="284"/>
        <w:jc w:val="both"/>
      </w:pPr>
    </w:p>
    <w:p w14:paraId="6B71D2B1" w14:textId="47A4E8C7" w:rsidR="009D1E32" w:rsidRPr="009D1E32" w:rsidRDefault="00C16AD9" w:rsidP="00455789">
      <w:pPr>
        <w:widowControl w:val="0"/>
        <w:autoSpaceDE w:val="0"/>
        <w:autoSpaceDN w:val="0"/>
        <w:adjustRightInd w:val="0"/>
        <w:ind w:left="284"/>
        <w:jc w:val="both"/>
      </w:pPr>
      <w:r>
        <w:t xml:space="preserve">Rahapesu ja terrorismi rahastamise tõkestamise seaduse </w:t>
      </w:r>
      <w:r w:rsidR="00C96EA7">
        <w:t>eelnõu</w:t>
      </w:r>
      <w:r>
        <w:rPr>
          <w:rStyle w:val="FootnoteReference"/>
        </w:rPr>
        <w:footnoteReference w:id="1"/>
      </w:r>
      <w:r w:rsidR="00C96EA7">
        <w:t xml:space="preserve"> </w:t>
      </w:r>
      <w:r w:rsidR="009D1E32" w:rsidRPr="009D1E32">
        <w:t xml:space="preserve">kohaselt on </w:t>
      </w:r>
      <w:r w:rsidR="009D1E32" w:rsidRPr="009D1E32">
        <w:rPr>
          <w:i/>
        </w:rPr>
        <w:t>alternatiivsete maksevahendite teenuste pakkuja mõiste sätestatud seetõttu, et tänapäeval kasutatakse järjest enam ka Eestis rahaliste kohustuste täitmise kõikvõimalikke viise, mis ei ole käsitletavad traditsiooniliste makseviisidena. Alternatiivsete maksevahendite teenuste, sh alternatiivsete elektrooniliste makseviiside alla kuuluvad tavapanganduse välised süsteemid, mis võimaldavad rahalise väärtuse digitaalset ülekandmist. Selliste süsteemide sarnaseks jooneks on see, et nad võimaldavad tehinguosalistel rahalist väärtust üle kanda koheselt, mugavalt, turvaliselt ja, mis kõige märkimisväärsem, anonüümselt</w:t>
      </w:r>
      <w:r w:rsidR="009D1E32" w:rsidRPr="009D1E32">
        <w:t xml:space="preserve">. Seega on </w:t>
      </w:r>
      <w:r w:rsidR="00404D3D">
        <w:t xml:space="preserve">seadusandja </w:t>
      </w:r>
      <w:r w:rsidR="009D1E32" w:rsidRPr="009D1E32">
        <w:t>alt</w:t>
      </w:r>
      <w:r w:rsidR="00404D3D">
        <w:t xml:space="preserve">ernatiivsete maksevahendite all </w:t>
      </w:r>
      <w:r w:rsidR="009D1E32" w:rsidRPr="009D1E32">
        <w:t xml:space="preserve">mõelnud kõikvõimalikke vahendeid ja süsteeme, mis ei ole käsitletavad traditsiooniliste makseviisidena. </w:t>
      </w:r>
    </w:p>
    <w:p w14:paraId="08ACC87D" w14:textId="77777777" w:rsidR="009D1E32" w:rsidRDefault="009D1E32" w:rsidP="00455789">
      <w:pPr>
        <w:widowControl w:val="0"/>
        <w:autoSpaceDE w:val="0"/>
        <w:autoSpaceDN w:val="0"/>
        <w:adjustRightInd w:val="0"/>
        <w:ind w:left="284"/>
        <w:jc w:val="both"/>
      </w:pPr>
    </w:p>
    <w:p w14:paraId="6794245F" w14:textId="77777777" w:rsidR="00CC644A" w:rsidRDefault="00CC644A" w:rsidP="00455789">
      <w:pPr>
        <w:widowControl w:val="0"/>
        <w:autoSpaceDE w:val="0"/>
        <w:autoSpaceDN w:val="0"/>
        <w:adjustRightInd w:val="0"/>
        <w:ind w:left="284"/>
        <w:jc w:val="both"/>
      </w:pPr>
      <w:r w:rsidRPr="00CC644A">
        <w:t>RahaPTS § 6 lõike 4 kohaselt peab alternatiivne maksevahend vastama tunnustele, milleks on (i) rahaline väärtus, mille abil on (ii) võimalik täita rahalisi kohustusi või (iii) mida saab vahetada kehtiva vääringu vastu</w:t>
      </w:r>
      <w:r w:rsidR="009B1AC6">
        <w:t>.</w:t>
      </w:r>
    </w:p>
    <w:p w14:paraId="39443CDC" w14:textId="77777777" w:rsidR="00CC644A" w:rsidRDefault="00CC644A" w:rsidP="00455789">
      <w:pPr>
        <w:widowControl w:val="0"/>
        <w:autoSpaceDE w:val="0"/>
        <w:autoSpaceDN w:val="0"/>
        <w:adjustRightInd w:val="0"/>
        <w:ind w:left="284"/>
        <w:jc w:val="both"/>
      </w:pPr>
    </w:p>
    <w:p w14:paraId="09DF906D" w14:textId="7E77D850" w:rsidR="005B4097" w:rsidRDefault="009E1B86" w:rsidP="00455789">
      <w:pPr>
        <w:widowControl w:val="0"/>
        <w:autoSpaceDE w:val="0"/>
        <w:autoSpaceDN w:val="0"/>
        <w:adjustRightInd w:val="0"/>
        <w:ind w:left="284"/>
        <w:jc w:val="both"/>
      </w:pPr>
      <w:r>
        <w:t>Bitcoinil on olemas rahaline väärtus ja see võimaldab ühtlasi täita rahalisi kohustusi.</w:t>
      </w:r>
      <w:r w:rsidR="00FE632F">
        <w:rPr>
          <w:rStyle w:val="FootnoteReference"/>
        </w:rPr>
        <w:footnoteReference w:id="2"/>
      </w:r>
      <w:r>
        <w:t xml:space="preserve"> Niisamuti on võimalik </w:t>
      </w:r>
      <w:r w:rsidR="00A21695">
        <w:t>bitcoine</w:t>
      </w:r>
      <w:r>
        <w:t xml:space="preserve"> vahetada kehtiva vääringu vastu. </w:t>
      </w:r>
      <w:r w:rsidR="005B4097">
        <w:t>Bitc</w:t>
      </w:r>
      <w:r w:rsidR="00A21695">
        <w:t>oin vastab kõikidele alternatiivse maksevahendi</w:t>
      </w:r>
      <w:r w:rsidR="005B4097">
        <w:t xml:space="preserve"> tunnustele ja on seetõttu käsitatav RahaPTS § 6 lõikes 4 nimetatud alternatiivse maksevahendina. </w:t>
      </w:r>
    </w:p>
    <w:p w14:paraId="60B46A88" w14:textId="77777777" w:rsidR="005B4097" w:rsidRPr="00B44C16" w:rsidRDefault="005B4097" w:rsidP="00455789">
      <w:pPr>
        <w:widowControl w:val="0"/>
        <w:autoSpaceDE w:val="0"/>
        <w:autoSpaceDN w:val="0"/>
        <w:adjustRightInd w:val="0"/>
        <w:ind w:left="284"/>
        <w:jc w:val="both"/>
      </w:pPr>
    </w:p>
    <w:p w14:paraId="0467C172" w14:textId="6F67D07C" w:rsidR="004F34AD" w:rsidRDefault="0098348D" w:rsidP="00455789">
      <w:pPr>
        <w:widowControl w:val="0"/>
        <w:autoSpaceDE w:val="0"/>
        <w:autoSpaceDN w:val="0"/>
        <w:adjustRightInd w:val="0"/>
        <w:ind w:left="284"/>
        <w:jc w:val="both"/>
      </w:pPr>
      <w:r>
        <w:t>Täiendavalt lisame, et r</w:t>
      </w:r>
      <w:r w:rsidR="004F34AD">
        <w:t>ahapesuvastane töökond</w:t>
      </w:r>
      <w:r w:rsidR="000E0672">
        <w:t xml:space="preserve"> (</w:t>
      </w:r>
      <w:r w:rsidR="00C90BE0">
        <w:t xml:space="preserve">ehk </w:t>
      </w:r>
      <w:r w:rsidR="00C90BE0" w:rsidRPr="007A5218">
        <w:rPr>
          <w:i/>
        </w:rPr>
        <w:t xml:space="preserve">Financial </w:t>
      </w:r>
      <w:r w:rsidR="009B1AC6" w:rsidRPr="009B1AC6">
        <w:rPr>
          <w:i/>
        </w:rPr>
        <w:t>Action Task</w:t>
      </w:r>
      <w:r w:rsidR="00C90BE0" w:rsidRPr="007A5218">
        <w:rPr>
          <w:i/>
        </w:rPr>
        <w:t xml:space="preserve"> Force</w:t>
      </w:r>
      <w:r w:rsidR="00C90BE0">
        <w:rPr>
          <w:rStyle w:val="FootnoteReference"/>
          <w:i/>
        </w:rPr>
        <w:footnoteReference w:id="3"/>
      </w:r>
      <w:r w:rsidR="00C90BE0">
        <w:t xml:space="preserve">; </w:t>
      </w:r>
      <w:r w:rsidR="000E0672">
        <w:t xml:space="preserve">edaspidi </w:t>
      </w:r>
      <w:r w:rsidR="000E0672" w:rsidRPr="007A5218">
        <w:rPr>
          <w:i/>
        </w:rPr>
        <w:t>FATF</w:t>
      </w:r>
      <w:r w:rsidR="000E0672">
        <w:t>)</w:t>
      </w:r>
      <w:r w:rsidR="004F34AD" w:rsidRPr="00332371">
        <w:t xml:space="preserve"> </w:t>
      </w:r>
      <w:r w:rsidR="004F34AD">
        <w:t xml:space="preserve">on defineerinud virtuaalraha kui digitaalsel viisil esitatud väärtust, mida on võimalik digitaalselt vahetada ja mis funktsioneerib kui (i) vahetusmeedium; (ii) arvestusühik ja/või (iii) </w:t>
      </w:r>
      <w:r w:rsidR="004F34AD">
        <w:lastRenderedPageBreak/>
        <w:t>väärtuse kandja. Virtuaalraha omab eelnimetatud funktsioone vaid seetõttu, et selles on kokku leppinud virtuaalraha kasutajad. Samal ajal ei ole virtuaalrahal seadusliku maksevahendi staatust üheski jurisdiktsioonis. Virtuaalraha ei emiteeri või taga ükski jurisdiktsioon.</w:t>
      </w:r>
      <w:r w:rsidR="004F34AD">
        <w:rPr>
          <w:rStyle w:val="FootnoteReference"/>
        </w:rPr>
        <w:footnoteReference w:id="4"/>
      </w:r>
      <w:r w:rsidR="004F34AD">
        <w:t xml:space="preserve"> Euroopa Keskpank on virtuaalraha defineerinud eeltooduga sarnaselt täpsustades vaid, et virtuaalraha saab teatud olukordades kasutada alternatiivina rahale.</w:t>
      </w:r>
      <w:r w:rsidR="004F34AD">
        <w:rPr>
          <w:rStyle w:val="FootnoteReference"/>
        </w:rPr>
        <w:footnoteReference w:id="5"/>
      </w:r>
      <w:r w:rsidR="004F34AD">
        <w:t xml:space="preserve"> Euroopa Pangandusjärelevalve on defineeri</w:t>
      </w:r>
      <w:r w:rsidR="00045077">
        <w:t>nud virtuaalraha sarnaselt FATF-</w:t>
      </w:r>
      <w:r w:rsidR="004F34AD">
        <w:t xml:space="preserve">i ning Euroopa Keskpangaga, kuid täpsustanud veelgi, et virtuaalraha erinevalt e-rahast ei ole emiteeritud või </w:t>
      </w:r>
      <w:r w:rsidR="0009118E">
        <w:t xml:space="preserve">garanteeritud </w:t>
      </w:r>
      <w:r w:rsidR="004F34AD">
        <w:t>raha digitaalsel viisil esitatud väärtus.</w:t>
      </w:r>
      <w:r w:rsidR="00291462">
        <w:rPr>
          <w:rStyle w:val="FootnoteReference"/>
        </w:rPr>
        <w:footnoteReference w:id="6"/>
      </w:r>
      <w:r w:rsidR="004F34AD">
        <w:t xml:space="preserve"> </w:t>
      </w:r>
      <w:r w:rsidR="00045077">
        <w:t>Arvestades FATF-</w:t>
      </w:r>
      <w:r w:rsidR="004F34AD">
        <w:t>i, Euroopa Keskpanga ja Euroopa Pangandusjärelevalve virtuaalraha ning sellele iseloomulike tunnuste definitsiooni</w:t>
      </w:r>
      <w:r w:rsidR="004F34AD" w:rsidRPr="00B44C16">
        <w:t xml:space="preserve">, </w:t>
      </w:r>
      <w:r w:rsidR="004F34AD">
        <w:t xml:space="preserve">järeldub, </w:t>
      </w:r>
      <w:r w:rsidR="004F34AD" w:rsidRPr="00B44C16">
        <w:t>et virtuaalraha on rahalist väärtust omav vahend</w:t>
      </w:r>
      <w:r w:rsidR="004F34AD">
        <w:t>, mida</w:t>
      </w:r>
      <w:r w:rsidR="004F34AD" w:rsidRPr="00B44C16">
        <w:t xml:space="preserve"> saab </w:t>
      </w:r>
      <w:r w:rsidR="004F34AD">
        <w:t xml:space="preserve">teatud tingimustel </w:t>
      </w:r>
      <w:r w:rsidR="004F34AD" w:rsidRPr="00B44C16">
        <w:t xml:space="preserve">kasutada rahaliste kohustuste täitmiseks või kehtiva vääringu vastu vahetada. </w:t>
      </w:r>
    </w:p>
    <w:p w14:paraId="1B74E452" w14:textId="77777777" w:rsidR="004F34AD" w:rsidRPr="00B44C16" w:rsidRDefault="004F34AD" w:rsidP="00455789">
      <w:pPr>
        <w:widowControl w:val="0"/>
        <w:autoSpaceDE w:val="0"/>
        <w:autoSpaceDN w:val="0"/>
        <w:adjustRightInd w:val="0"/>
        <w:ind w:left="284"/>
        <w:jc w:val="both"/>
      </w:pPr>
    </w:p>
    <w:p w14:paraId="6E67D037" w14:textId="77777777" w:rsidR="004F34AD" w:rsidRPr="00B44C16" w:rsidRDefault="0098348D" w:rsidP="00455789">
      <w:pPr>
        <w:widowControl w:val="0"/>
        <w:autoSpaceDE w:val="0"/>
        <w:autoSpaceDN w:val="0"/>
        <w:adjustRightInd w:val="0"/>
        <w:ind w:left="284"/>
        <w:jc w:val="both"/>
      </w:pPr>
      <w:r>
        <w:t>Eelnevast tulenevalt, kuivõrd bitcoin</w:t>
      </w:r>
      <w:r w:rsidR="004F34AD" w:rsidRPr="00B44C16">
        <w:t xml:space="preserve">ide tasu eest vahetamisteenuse pakkuja ostab ise, müüb ise või vahendab virtuaalvaluutat ning </w:t>
      </w:r>
      <w:r w:rsidR="004F34AD">
        <w:t>arvestades, et</w:t>
      </w:r>
      <w:r w:rsidR="004F34AD" w:rsidRPr="00B44C16">
        <w:t xml:space="preserve"> virtuaalraha</w:t>
      </w:r>
      <w:r w:rsidR="004F34AD">
        <w:t>l</w:t>
      </w:r>
      <w:r w:rsidR="004F34AD" w:rsidRPr="00B44C16">
        <w:t xml:space="preserve"> </w:t>
      </w:r>
      <w:r w:rsidR="004F34AD">
        <w:t xml:space="preserve">on </w:t>
      </w:r>
      <w:r w:rsidR="004F34AD" w:rsidRPr="00B44C16">
        <w:t>alternatiiv</w:t>
      </w:r>
      <w:r w:rsidR="004F34AD">
        <w:t xml:space="preserve">se </w:t>
      </w:r>
      <w:r w:rsidR="004F34AD" w:rsidRPr="00B44C16">
        <w:t>maksevahend</w:t>
      </w:r>
      <w:r w:rsidR="004F34AD">
        <w:t>i tunnused</w:t>
      </w:r>
      <w:r w:rsidR="004F34AD" w:rsidRPr="00B44C16">
        <w:t xml:space="preserve">, </w:t>
      </w:r>
      <w:r w:rsidR="004F34AD">
        <w:t xml:space="preserve">saab </w:t>
      </w:r>
      <w:r w:rsidR="004F34AD" w:rsidRPr="00B44C16">
        <w:t xml:space="preserve">jõuda ka järeldusele, et käesolevas küsimuses toodud teenusepakkuja on alternatiivsete maksevahendite teenuse pakkuja RahaPTS § 6 lõike 4 mõttes. Selliselt on alternatiivse maksevahendi teenuse pakkuja kohustatud isik </w:t>
      </w:r>
      <w:r w:rsidR="004F34AD">
        <w:t>RahaPTS-i mõttes</w:t>
      </w:r>
      <w:r w:rsidR="004F34AD" w:rsidRPr="00B44C16">
        <w:t xml:space="preserve">. </w:t>
      </w:r>
    </w:p>
    <w:p w14:paraId="1FABB130" w14:textId="77777777" w:rsidR="004F34AD" w:rsidRPr="00B44C16" w:rsidRDefault="004F34AD" w:rsidP="00455789">
      <w:pPr>
        <w:widowControl w:val="0"/>
        <w:autoSpaceDE w:val="0"/>
        <w:autoSpaceDN w:val="0"/>
        <w:adjustRightInd w:val="0"/>
        <w:ind w:left="284"/>
        <w:jc w:val="both"/>
      </w:pPr>
    </w:p>
    <w:p w14:paraId="18B944CC" w14:textId="77777777" w:rsidR="004F34AD" w:rsidRPr="00B44C16" w:rsidRDefault="004F34AD" w:rsidP="00455789">
      <w:pPr>
        <w:widowControl w:val="0"/>
        <w:suppressAutoHyphens/>
        <w:ind w:left="284"/>
        <w:jc w:val="both"/>
      </w:pPr>
      <w:r w:rsidRPr="00B44C16">
        <w:t>Oluline on, et ka FATF ja Euroopa Pangandusjärelevalve on kutsunud riike virtuaalrahadega seonduvaid riske hindama ning kohaldama rahapesu ja terrorismi rahastamise tõkestamiseks rahvusvahelisi standardeid virtuaalraha teenuse pakkujatele. FATF on oma juhendi</w:t>
      </w:r>
      <w:r w:rsidRPr="00B44C16">
        <w:rPr>
          <w:rStyle w:val="FootnoteReference"/>
        </w:rPr>
        <w:footnoteReference w:id="7"/>
      </w:r>
      <w:r w:rsidRPr="00B44C16">
        <w:t xml:space="preserve"> lõigus 33 mär</w:t>
      </w:r>
      <w:r w:rsidR="00256D4B">
        <w:t>kinud</w:t>
      </w:r>
      <w:r w:rsidR="00045077">
        <w:t>, et FATF-</w:t>
      </w:r>
      <w:r>
        <w:t>i soovitus</w:t>
      </w:r>
      <w:r w:rsidRPr="00B44C16">
        <w:t xml:space="preserve"> 14</w:t>
      </w:r>
      <w:r w:rsidR="00256D4B" w:rsidRPr="00B44C16">
        <w:rPr>
          <w:rStyle w:val="FootnoteReference"/>
        </w:rPr>
        <w:footnoteReference w:id="8"/>
      </w:r>
      <w:r w:rsidRPr="00B44C16">
        <w:t>, mis käsitleb raha või alternatiivse maksevahendi ülekandeteenused</w:t>
      </w:r>
      <w:r w:rsidR="00291462">
        <w:rPr>
          <w:rStyle w:val="FootnoteReference"/>
        </w:rPr>
        <w:footnoteReference w:id="9"/>
      </w:r>
      <w:r w:rsidRPr="00B44C16">
        <w:t>, kohaldub ka virtuaalraha vahetuse teenuse pakku</w:t>
      </w:r>
      <w:r w:rsidR="00256D4B">
        <w:t>jatele. Selliselt tuleb FATF</w:t>
      </w:r>
      <w:r w:rsidR="00045077">
        <w:t>-</w:t>
      </w:r>
      <w:r w:rsidR="00256D4B">
        <w:t xml:space="preserve">i </w:t>
      </w:r>
      <w:r w:rsidRPr="00B44C16">
        <w:t>juhendi ja FATF</w:t>
      </w:r>
      <w:r w:rsidR="00045077">
        <w:t>-</w:t>
      </w:r>
      <w:r w:rsidRPr="00B44C16">
        <w:t>i soovituse 14 koosmõjus virtuaalraha vahetuse teenuse pakkujad registreerida või litsentseerida ning viimased peavad kohaldama ka kõiki FATF</w:t>
      </w:r>
      <w:r w:rsidR="00045077">
        <w:t>-</w:t>
      </w:r>
      <w:r w:rsidRPr="00B44C16">
        <w:t>i soovitustest tulenevaid hoolsusmeetmeid.</w:t>
      </w:r>
    </w:p>
    <w:p w14:paraId="5BC6F844" w14:textId="77777777" w:rsidR="00C90BE0" w:rsidRPr="00B44C16" w:rsidRDefault="00C90BE0" w:rsidP="00351D89">
      <w:pPr>
        <w:widowControl w:val="0"/>
        <w:suppressAutoHyphens/>
        <w:jc w:val="both"/>
      </w:pPr>
    </w:p>
    <w:p w14:paraId="7B2F35B8" w14:textId="77777777" w:rsidR="004F34AD" w:rsidRDefault="004F34AD" w:rsidP="00455789">
      <w:pPr>
        <w:widowControl w:val="0"/>
        <w:autoSpaceDE w:val="0"/>
        <w:autoSpaceDN w:val="0"/>
        <w:adjustRightInd w:val="0"/>
        <w:ind w:left="284"/>
        <w:jc w:val="both"/>
      </w:pPr>
      <w:r w:rsidRPr="00B44C16">
        <w:t>Selliselt vastab alternatiivse maksevahendite teenuse pakkuja definitsioon RahaPTS § 6 lõikes 4 suures osas ka raha või alternatiivse maksevahendi ülekandeteenuse definitsioonile</w:t>
      </w:r>
      <w:r w:rsidR="00045077">
        <w:t xml:space="preserve"> FATF-</w:t>
      </w:r>
      <w:r w:rsidRPr="00B44C16">
        <w:t xml:space="preserve">i soovituste sõnaseletuses. </w:t>
      </w:r>
    </w:p>
    <w:p w14:paraId="5D2CDF0F" w14:textId="77777777" w:rsidR="009D7DD9" w:rsidRDefault="009D7DD9" w:rsidP="00455789">
      <w:pPr>
        <w:widowControl w:val="0"/>
        <w:autoSpaceDE w:val="0"/>
        <w:autoSpaceDN w:val="0"/>
        <w:adjustRightInd w:val="0"/>
        <w:ind w:left="284"/>
        <w:jc w:val="both"/>
      </w:pPr>
    </w:p>
    <w:p w14:paraId="1D762F2C" w14:textId="77777777" w:rsidR="004F34AD" w:rsidRPr="003D3CD1" w:rsidRDefault="004F34AD" w:rsidP="00455789">
      <w:pPr>
        <w:widowControl w:val="0"/>
        <w:autoSpaceDE w:val="0"/>
        <w:autoSpaceDN w:val="0"/>
        <w:adjustRightInd w:val="0"/>
        <w:ind w:left="284"/>
        <w:jc w:val="both"/>
        <w:rPr>
          <w:i/>
        </w:rPr>
      </w:pPr>
      <w:r w:rsidRPr="003D3CD1">
        <w:rPr>
          <w:i/>
        </w:rPr>
        <w:t>RahaPTS-i kohaldamine teenustele, mida seaduse väljatöötamisel ei eksisteerinud</w:t>
      </w:r>
    </w:p>
    <w:p w14:paraId="59FC73F7" w14:textId="77777777" w:rsidR="004F34AD" w:rsidRPr="00B44C16" w:rsidRDefault="004F34AD" w:rsidP="00455789">
      <w:pPr>
        <w:widowControl w:val="0"/>
        <w:autoSpaceDE w:val="0"/>
        <w:autoSpaceDN w:val="0"/>
        <w:adjustRightInd w:val="0"/>
        <w:ind w:left="284"/>
        <w:jc w:val="both"/>
      </w:pPr>
    </w:p>
    <w:p w14:paraId="44F9A16C" w14:textId="4B184D1E" w:rsidR="004F34AD" w:rsidRDefault="004F34AD" w:rsidP="00455789">
      <w:pPr>
        <w:widowControl w:val="0"/>
        <w:autoSpaceDE w:val="0"/>
        <w:autoSpaceDN w:val="0"/>
        <w:adjustRightInd w:val="0"/>
        <w:ind w:left="284"/>
        <w:jc w:val="both"/>
      </w:pPr>
      <w:r w:rsidRPr="00B44C16">
        <w:t>FATF ja Euroopa Pangandusjärelevalve</w:t>
      </w:r>
      <w:r w:rsidR="00CE3219">
        <w:t xml:space="preserve"> on</w:t>
      </w:r>
      <w:r w:rsidRPr="00B44C16">
        <w:t xml:space="preserve"> kutsunud üles hindama virtuaalvaluutaga kaasnevaid rahapesu ja terrorismi rahastamise riske. RahaPTS-i seletuskirjast nähtub, et enne seaduse väljatöötamist on R</w:t>
      </w:r>
      <w:r w:rsidR="00CE3219">
        <w:t>AB</w:t>
      </w:r>
      <w:r w:rsidRPr="00B44C16">
        <w:t xml:space="preserve"> ja Finantsinspektsioon koostanud elektrooniliste maksete, sh alternatiivsete maksevahendite teenuste riskianalüüsi, millega on seaduse väljavöötamisel arvestatud.</w:t>
      </w:r>
    </w:p>
    <w:p w14:paraId="37B28C25" w14:textId="77777777" w:rsidR="004F34AD" w:rsidRDefault="004F34AD" w:rsidP="00455789">
      <w:pPr>
        <w:widowControl w:val="0"/>
        <w:autoSpaceDE w:val="0"/>
        <w:autoSpaceDN w:val="0"/>
        <w:adjustRightInd w:val="0"/>
        <w:ind w:left="284"/>
        <w:jc w:val="both"/>
      </w:pPr>
    </w:p>
    <w:p w14:paraId="57B72E19" w14:textId="77777777" w:rsidR="00F53374" w:rsidRDefault="00CE3219" w:rsidP="00455789">
      <w:pPr>
        <w:widowControl w:val="0"/>
        <w:autoSpaceDE w:val="0"/>
        <w:autoSpaceDN w:val="0"/>
        <w:adjustRightInd w:val="0"/>
        <w:ind w:left="284"/>
        <w:jc w:val="both"/>
      </w:pPr>
      <w:r>
        <w:lastRenderedPageBreak/>
        <w:t>S</w:t>
      </w:r>
      <w:r w:rsidR="004F34AD" w:rsidRPr="00B44C16">
        <w:t>ellele riski</w:t>
      </w:r>
      <w:r>
        <w:t xml:space="preserve">analüüsile tuginedes on </w:t>
      </w:r>
      <w:r w:rsidR="004F34AD" w:rsidRPr="00B44C16">
        <w:t>eelnõu väljatöötaja üritanud alternatiivsete maksevahendite teenuse pakkuja definitsiooniga katta kõik olemasolevad ja tulevikus väljatöötatavad makseviisid, mis ei ol</w:t>
      </w:r>
      <w:r w:rsidR="004F34AD">
        <w:t>e muul moel RahaPTS-iga kaetud.</w:t>
      </w:r>
      <w:r>
        <w:t xml:space="preserve"> Seletuskirjast tuleneb: </w:t>
      </w:r>
      <w:r w:rsidR="004F34AD" w:rsidRPr="00CE3219">
        <w:rPr>
          <w:i/>
        </w:rPr>
        <w:t xml:space="preserve">Alternatiivsete maksevahendite teenuste, sh alternatiivsete elektrooniliste makseviiside alla kuuluvad tavapanganduse välised süsteemid, mis võimaldavad rahalise väärtuse digitaalset ülekandmist. Tehinguid võib teha Internetis, sh erinevate Interneti portaalide vahendusel, muude sidekanalite kaudu või kiipkaartide kaudu, mille sisse on ehitatud rahalist väärtust talletav mikroprotsessor. FATF on tuvastanud erinevates riikides väga erinevaid rahalist väärtust omavate vahendite edastamise viise ja arvestades tehnoloogiliste vahendite väga kiiret arengut, ei ole eeltoodud loetelu kindlasti ammendav. Uued mittetraditsioonilised elektroonilised maksesüsteemid ei toimi tavaliselt kontopõhiselt. Alternatiivsete süsteemide sarnaseks jooneks on see, et nad võimaldavad tehinguosalistel rahalist väärtust üle kanda koheselt, mugavalt, turvaliselt, ja mis kõige märkimisväärsem, anonüümselt. Kasutatakse nn </w:t>
      </w:r>
      <w:r>
        <w:rPr>
          <w:i/>
        </w:rPr>
        <w:t>elektroonilisi rahakotte (ingl</w:t>
      </w:r>
      <w:r w:rsidR="004F34AD" w:rsidRPr="00CE3219">
        <w:rPr>
          <w:i/>
        </w:rPr>
        <w:t xml:space="preserve"> elektronic purse) ja digitaalse väärismetalli-põhiseid maksesüsteeme (e-kuld, e-hõbe)</w:t>
      </w:r>
      <w:r w:rsidR="004F34AD" w:rsidRPr="00B44C16">
        <w:t>.</w:t>
      </w:r>
      <w:r w:rsidR="004F34AD" w:rsidRPr="00B44C16">
        <w:rPr>
          <w:rStyle w:val="FootnoteReference"/>
        </w:rPr>
        <w:footnoteReference w:id="10"/>
      </w:r>
      <w:r w:rsidR="00602CA1">
        <w:t xml:space="preserve"> </w:t>
      </w:r>
    </w:p>
    <w:p w14:paraId="297059F0" w14:textId="77777777" w:rsidR="00F53374" w:rsidRDefault="00F53374" w:rsidP="00455789">
      <w:pPr>
        <w:widowControl w:val="0"/>
        <w:autoSpaceDE w:val="0"/>
        <w:autoSpaceDN w:val="0"/>
        <w:adjustRightInd w:val="0"/>
        <w:ind w:left="284"/>
        <w:jc w:val="both"/>
      </w:pPr>
    </w:p>
    <w:p w14:paraId="56371265" w14:textId="2D233452" w:rsidR="00F53374" w:rsidRDefault="00F53374" w:rsidP="00455789">
      <w:pPr>
        <w:ind w:left="284"/>
        <w:jc w:val="both"/>
      </w:pPr>
      <w:r>
        <w:t xml:space="preserve">Seadusandja on RahaPTS § 6 lõikega 4 </w:t>
      </w:r>
      <w:r w:rsidR="00C84154">
        <w:t xml:space="preserve">tõenäoliselt </w:t>
      </w:r>
      <w:r>
        <w:t>tahtnud katta juba olemasolevad ja tulevikus tekkida võivad, s.o ka bitcoin, alternatiivsed maksevahendid, kuna need kätkevad endas rahapesu ja terrorismi rahastamisega seonduvaid olulisi riske</w:t>
      </w:r>
      <w:r w:rsidR="00A90988">
        <w:t>.</w:t>
      </w:r>
      <w:r>
        <w:t xml:space="preserve"> </w:t>
      </w:r>
    </w:p>
    <w:p w14:paraId="19C98E1A" w14:textId="77777777" w:rsidR="005B4097" w:rsidRDefault="005B4097" w:rsidP="009B6CE7"/>
    <w:p w14:paraId="645D3404" w14:textId="77777777" w:rsidR="009D1E32" w:rsidRDefault="009D1E32" w:rsidP="009B6CE7"/>
    <w:p w14:paraId="66A15C9C" w14:textId="77777777" w:rsidR="002F7F92" w:rsidRDefault="002F7F92" w:rsidP="003E4741">
      <w:pPr>
        <w:jc w:val="both"/>
        <w:rPr>
          <w:b/>
        </w:rPr>
      </w:pPr>
      <w:r>
        <w:rPr>
          <w:b/>
        </w:rPr>
        <w:t xml:space="preserve">Küsimus nr </w:t>
      </w:r>
      <w:r w:rsidR="001D40AC" w:rsidRPr="009D7DD9">
        <w:rPr>
          <w:b/>
        </w:rPr>
        <w:t>2</w:t>
      </w:r>
    </w:p>
    <w:p w14:paraId="576AC0BC" w14:textId="77777777" w:rsidR="00202592" w:rsidRPr="009D7DD9" w:rsidRDefault="003E4741" w:rsidP="003E4741">
      <w:pPr>
        <w:jc w:val="both"/>
        <w:rPr>
          <w:b/>
        </w:rPr>
      </w:pPr>
      <w:r w:rsidRPr="009D7DD9">
        <w:rPr>
          <w:b/>
          <w:i/>
          <w:sz w:val="23"/>
          <w:szCs w:val="23"/>
        </w:rPr>
        <w:t xml:space="preserve">Kas Euroopa Parlamendi ja nõukogu direktiivi 2005/60/EÜ regulatsioon on kohaldatav </w:t>
      </w:r>
      <w:r w:rsidRPr="009D7DD9">
        <w:rPr>
          <w:b/>
          <w:i/>
          <w:iCs/>
          <w:sz w:val="23"/>
          <w:szCs w:val="23"/>
        </w:rPr>
        <w:t>bitcoin</w:t>
      </w:r>
      <w:r w:rsidRPr="009D7DD9">
        <w:rPr>
          <w:b/>
          <w:i/>
          <w:sz w:val="23"/>
          <w:szCs w:val="23"/>
        </w:rPr>
        <w:t>ide vahetamisteenusele? Kui jah, siis millises ulatuses?</w:t>
      </w:r>
    </w:p>
    <w:p w14:paraId="3570D400" w14:textId="77777777" w:rsidR="00D04D01" w:rsidRPr="007A5218" w:rsidRDefault="00D04D01" w:rsidP="009B6CE7">
      <w:pPr>
        <w:rPr>
          <w:b/>
          <w:u w:val="single"/>
        </w:rPr>
      </w:pPr>
    </w:p>
    <w:p w14:paraId="4481C676" w14:textId="77777777" w:rsidR="002F7F92" w:rsidRPr="007A5218" w:rsidRDefault="002F7F92" w:rsidP="009B6CE7">
      <w:pPr>
        <w:rPr>
          <w:b/>
        </w:rPr>
      </w:pPr>
      <w:r w:rsidRPr="007A5218">
        <w:rPr>
          <w:b/>
        </w:rPr>
        <w:t>Finantsinspektsiooni vastus</w:t>
      </w:r>
    </w:p>
    <w:p w14:paraId="41A77B21" w14:textId="77777777" w:rsidR="002F7F92" w:rsidRDefault="002F7F92" w:rsidP="009B6CE7"/>
    <w:p w14:paraId="512B67CB" w14:textId="77777777" w:rsidR="004F34AD" w:rsidRPr="00B44C16" w:rsidRDefault="00C84248" w:rsidP="00455789">
      <w:pPr>
        <w:widowControl w:val="0"/>
        <w:autoSpaceDE w:val="0"/>
        <w:autoSpaceDN w:val="0"/>
        <w:adjustRightInd w:val="0"/>
        <w:ind w:left="284"/>
        <w:jc w:val="both"/>
      </w:pPr>
      <w:r>
        <w:t>Euroopa Parlamendi ja nõukogu direktiiv 2005/60/EÜ (edaspidi k</w:t>
      </w:r>
      <w:r w:rsidR="00E55C51">
        <w:t>olmas</w:t>
      </w:r>
      <w:r w:rsidR="004F34AD" w:rsidRPr="00B44C16">
        <w:t xml:space="preserve"> rahapesu tõkestamise direktiiv</w:t>
      </w:r>
      <w:r>
        <w:t>)</w:t>
      </w:r>
      <w:r w:rsidR="004F34AD" w:rsidRPr="00B44C16">
        <w:t xml:space="preserve"> kohaldub direktiivi artikli 2 (1) kohaselt krediidiasutustele, finantseerimisasutustele, audiitoritele (rahandusekspertidele ja maksunõustajatele), notaritele, usaldusfondide või äriühingute teenuste pakkujatele, kinnisvaravahendajatele, kasiinodele ja muudele füüsilistele või juriidilistele isikutele, kes kauplevad kaubaga</w:t>
      </w:r>
      <w:r w:rsidR="00E55C51">
        <w:t>, mis hõlmab vähemalt 15 000 euro väärtuses sularahamakse sooritamist</w:t>
      </w:r>
      <w:r w:rsidR="004F34AD" w:rsidRPr="00B44C16">
        <w:t xml:space="preserve">. Seejuures finantseerimisasutus direktiivi artikli 3 </w:t>
      </w:r>
      <w:r w:rsidR="00E55C51">
        <w:t>(</w:t>
      </w:r>
      <w:r w:rsidR="004F34AD" w:rsidRPr="00B44C16">
        <w:t>2</w:t>
      </w:r>
      <w:r w:rsidR="00E55C51">
        <w:t>) kohaselt on (a) ettevõtja, kes</w:t>
      </w:r>
      <w:r w:rsidR="004F34AD" w:rsidRPr="00B44C16">
        <w:t xml:space="preserve"> </w:t>
      </w:r>
      <w:r w:rsidR="00E55C51">
        <w:t>ei ole</w:t>
      </w:r>
      <w:r w:rsidR="004F34AD" w:rsidRPr="00B44C16">
        <w:t xml:space="preserve"> krediidiasutus ja </w:t>
      </w:r>
      <w:r w:rsidR="00E55C51">
        <w:t xml:space="preserve">kes tegeleb ühe või mitme </w:t>
      </w:r>
      <w:r w:rsidR="00291462" w:rsidRPr="00B44C16">
        <w:t xml:space="preserve">Euroopa Parlamendi ja nõukogu direktiivi 2013/36/EL </w:t>
      </w:r>
      <w:r w:rsidR="00291462">
        <w:t xml:space="preserve">(edaspidi </w:t>
      </w:r>
      <w:r w:rsidR="004F34AD" w:rsidRPr="00B44C16">
        <w:t>CRD IV</w:t>
      </w:r>
      <w:r w:rsidR="00291462">
        <w:t>)</w:t>
      </w:r>
      <w:r w:rsidR="004F34AD" w:rsidRPr="00B44C16">
        <w:rPr>
          <w:rStyle w:val="FootnoteReference"/>
        </w:rPr>
        <w:footnoteReference w:id="11"/>
      </w:r>
      <w:r w:rsidR="004F34AD">
        <w:t xml:space="preserve"> lisa</w:t>
      </w:r>
      <w:r w:rsidR="004F34AD" w:rsidRPr="00B44C16">
        <w:t xml:space="preserve"> I punktides 2</w:t>
      </w:r>
      <w:r w:rsidR="00E55C51">
        <w:t>-</w:t>
      </w:r>
      <w:r w:rsidR="004F34AD" w:rsidRPr="00B44C16">
        <w:t xml:space="preserve">12 ning punktides 14 ja 15 </w:t>
      </w:r>
      <w:r w:rsidR="00E55C51">
        <w:t xml:space="preserve">loetletud tegevusega, </w:t>
      </w:r>
      <w:r w:rsidR="004F34AD" w:rsidRPr="00B44C16">
        <w:t>sealhulgas valuutavahetus- ja</w:t>
      </w:r>
      <w:r w:rsidR="00A022A2">
        <w:t xml:space="preserve"> rahaülekandeasutused; (b) </w:t>
      </w:r>
      <w:r w:rsidR="004F34AD" w:rsidRPr="00B44C16">
        <w:t>kindlustusselts; (c) investeerimisühing; (d) investeerim</w:t>
      </w:r>
      <w:r w:rsidR="00A022A2">
        <w:t>isfond; ja (e) kindlustus</w:t>
      </w:r>
      <w:r w:rsidR="004F34AD" w:rsidRPr="00B44C16">
        <w:t>vahendaja.</w:t>
      </w:r>
    </w:p>
    <w:p w14:paraId="0939C98A" w14:textId="77777777" w:rsidR="004F34AD" w:rsidRPr="00B44C16" w:rsidRDefault="004F34AD" w:rsidP="00455789">
      <w:pPr>
        <w:widowControl w:val="0"/>
        <w:autoSpaceDE w:val="0"/>
        <w:autoSpaceDN w:val="0"/>
        <w:adjustRightInd w:val="0"/>
        <w:ind w:left="284"/>
        <w:jc w:val="both"/>
      </w:pPr>
    </w:p>
    <w:p w14:paraId="08F5711A" w14:textId="0EA1DA5D" w:rsidR="004F34AD" w:rsidRPr="00B44C16" w:rsidRDefault="004F34AD" w:rsidP="00455789">
      <w:pPr>
        <w:widowControl w:val="0"/>
        <w:autoSpaceDE w:val="0"/>
        <w:autoSpaceDN w:val="0"/>
        <w:adjustRightInd w:val="0"/>
        <w:ind w:left="284"/>
        <w:jc w:val="both"/>
      </w:pPr>
      <w:r w:rsidRPr="00B44C16">
        <w:t xml:space="preserve">Rahvusvahelisel tasandil on analüüsitud, kas virtuaalraha pakkumise näol võiks olla tegemist mõne finantsteenusega </w:t>
      </w:r>
      <w:r w:rsidR="00A90988">
        <w:t xml:space="preserve">krediidiasutuste seaduse (edaspidi </w:t>
      </w:r>
      <w:r w:rsidRPr="007A5218">
        <w:rPr>
          <w:i/>
        </w:rPr>
        <w:t>KAS</w:t>
      </w:r>
      <w:r w:rsidR="00A90988">
        <w:t>)</w:t>
      </w:r>
      <w:r w:rsidRPr="00B44C16">
        <w:t xml:space="preserve"> § 6 lõike 1 tähenduses (ja seega ka CRD IV lisa I punktide 2</w:t>
      </w:r>
      <w:r>
        <w:t xml:space="preserve"> kuni 12 ning punktide 14 ja 15</w:t>
      </w:r>
      <w:r w:rsidRPr="00B44C16">
        <w:t>) ning kas virtuaalraha teenuse pakkuja võiks olla seega finantsteenuse pakkuja</w:t>
      </w:r>
      <w:r w:rsidR="00BF394A">
        <w:t xml:space="preserve"> (k.a kolmanda</w:t>
      </w:r>
      <w:r>
        <w:t xml:space="preserve"> rahapesu tõkestamise direktiivi </w:t>
      </w:r>
      <w:r w:rsidRPr="00B44C16">
        <w:t>tähenduses</w:t>
      </w:r>
      <w:r>
        <w:t>)</w:t>
      </w:r>
      <w:r w:rsidRPr="00B44C16">
        <w:t>. Samal ajal on mitmed rahvusvahelised organisatsioonid jõudnud järeldusele, et virtuaalraha valdkond on reguleerimata ala ning virtuaalraha skeemide üle finantsjärelevalve asutused järelevalvet ei teosta, sest tege</w:t>
      </w:r>
      <w:r w:rsidR="00602CA1">
        <w:t>mist ei ole finantsteenusega (k.</w:t>
      </w:r>
      <w:r w:rsidR="00C84248">
        <w:t>a KAS § 6 lg 1 p</w:t>
      </w:r>
      <w:r w:rsidR="00291462">
        <w:t>unkti</w:t>
      </w:r>
      <w:r w:rsidRPr="00B44C16">
        <w:t xml:space="preserve">de </w:t>
      </w:r>
      <w:r w:rsidRPr="00B44C16">
        <w:lastRenderedPageBreak/>
        <w:t>2–12 mõttes) ega ka krediidiasutuse tegevusega.</w:t>
      </w:r>
    </w:p>
    <w:p w14:paraId="4B00AE3D" w14:textId="77777777" w:rsidR="004F34AD" w:rsidRPr="00B44C16" w:rsidRDefault="004F34AD" w:rsidP="00455789">
      <w:pPr>
        <w:widowControl w:val="0"/>
        <w:autoSpaceDE w:val="0"/>
        <w:autoSpaceDN w:val="0"/>
        <w:adjustRightInd w:val="0"/>
        <w:ind w:left="284"/>
        <w:jc w:val="both"/>
      </w:pPr>
    </w:p>
    <w:p w14:paraId="7429320C" w14:textId="77777777" w:rsidR="004F34AD" w:rsidRPr="00B44C16" w:rsidRDefault="00BF394A" w:rsidP="00455789">
      <w:pPr>
        <w:widowControl w:val="0"/>
        <w:autoSpaceDE w:val="0"/>
        <w:autoSpaceDN w:val="0"/>
        <w:adjustRightInd w:val="0"/>
        <w:ind w:left="284"/>
        <w:jc w:val="both"/>
      </w:pPr>
      <w:r>
        <w:t>Kuivõrd kolmandas</w:t>
      </w:r>
      <w:r w:rsidR="004F34AD">
        <w:t xml:space="preserve"> rahapesu tõkestamise direktiivis alternatiivsete maksevahendite teenuse pakkujaid ei ole finantseerimisasutustena defineeritud, samuti ei ole neid ka muul viisil kohustatud isikutena käsitletud, </w:t>
      </w:r>
      <w:r>
        <w:t>järeldub kokkuvõtvalt, et kolmas</w:t>
      </w:r>
      <w:r w:rsidR="004F34AD" w:rsidRPr="00B44C16">
        <w:t xml:space="preserve"> rahapesu tõkestamise dire</w:t>
      </w:r>
      <w:r>
        <w:t>ktiiv ei ole kohaldatav bitcoin</w:t>
      </w:r>
      <w:r w:rsidR="004F34AD" w:rsidRPr="00B44C16">
        <w:t>ide vahetamisteenusele.</w:t>
      </w:r>
    </w:p>
    <w:p w14:paraId="6B71F908" w14:textId="77777777" w:rsidR="004F34AD" w:rsidRPr="00B44C16" w:rsidRDefault="004F34AD" w:rsidP="00455789">
      <w:pPr>
        <w:widowControl w:val="0"/>
        <w:autoSpaceDE w:val="0"/>
        <w:autoSpaceDN w:val="0"/>
        <w:adjustRightInd w:val="0"/>
        <w:ind w:left="284"/>
        <w:jc w:val="both"/>
      </w:pPr>
    </w:p>
    <w:p w14:paraId="0E6B9FB8" w14:textId="5E007198" w:rsidR="004F34AD" w:rsidRPr="00B44C16" w:rsidRDefault="004F34AD" w:rsidP="00455789">
      <w:pPr>
        <w:widowControl w:val="0"/>
        <w:autoSpaceDE w:val="0"/>
        <w:autoSpaceDN w:val="0"/>
        <w:adjustRightInd w:val="0"/>
        <w:ind w:left="284"/>
        <w:jc w:val="both"/>
      </w:pPr>
      <w:r w:rsidRPr="00045077">
        <w:t>Samal ajal on Euroopa Pangandusjärelevalve soovitanud Euroopa Liidu seadusandjatel kaaluda virtuaalrahade teenuse pakkujate lisamist kohustatud isikute nimekirja, et rahapesu ja terrorismi rahastamise tõkestamiseks kohustatud isikutele esitatavad nõuded laieneksid ka virtuaalraha teenuse pakkujatele.</w:t>
      </w:r>
      <w:r w:rsidRPr="00045077">
        <w:rPr>
          <w:rStyle w:val="FootnoteReference"/>
        </w:rPr>
        <w:footnoteReference w:id="12"/>
      </w:r>
      <w:r w:rsidR="00BF394A" w:rsidRPr="00045077">
        <w:t xml:space="preserve"> Sellele vaatamata </w:t>
      </w:r>
      <w:r w:rsidR="007D2D1C">
        <w:t xml:space="preserve">ei ole </w:t>
      </w:r>
      <w:r w:rsidR="00BF394A" w:rsidRPr="00045077">
        <w:t>Euroopa Parlamendi ja nõu</w:t>
      </w:r>
      <w:r w:rsidR="00C84248">
        <w:t>kogu direktiiviga 2015/849/EL (n</w:t>
      </w:r>
      <w:r w:rsidR="00BF394A" w:rsidRPr="00045077">
        <w:t>eljas</w:t>
      </w:r>
      <w:r w:rsidRPr="00045077">
        <w:t xml:space="preserve"> rahapesu tõkestamise direktiiv</w:t>
      </w:r>
      <w:r w:rsidR="00BF394A" w:rsidRPr="00045077">
        <w:t xml:space="preserve">) </w:t>
      </w:r>
      <w:r w:rsidRPr="00045077">
        <w:t>kohustatud isikute ringi virtuaalrahade teenuse pakkujatega laiendatud. Selle asemel otsustas Euroopa Komisjon hinnata ja seejärel vajadusel rakendada laiaulatuslikemaid regulatsioone.</w:t>
      </w:r>
      <w:r w:rsidRPr="00045077">
        <w:rPr>
          <w:rStyle w:val="FootnoteReference"/>
        </w:rPr>
        <w:footnoteReference w:id="13"/>
      </w:r>
    </w:p>
    <w:p w14:paraId="51DB1A67" w14:textId="77777777" w:rsidR="004F34AD" w:rsidRDefault="004F34AD" w:rsidP="004F34AD">
      <w:pPr>
        <w:widowControl w:val="0"/>
        <w:autoSpaceDE w:val="0"/>
        <w:autoSpaceDN w:val="0"/>
        <w:adjustRightInd w:val="0"/>
        <w:jc w:val="both"/>
        <w:rPr>
          <w:b/>
        </w:rPr>
      </w:pPr>
    </w:p>
    <w:p w14:paraId="5D90C2F9" w14:textId="77777777" w:rsidR="0021469F" w:rsidRPr="00B44C16" w:rsidRDefault="0021469F" w:rsidP="004F34AD">
      <w:pPr>
        <w:widowControl w:val="0"/>
        <w:autoSpaceDE w:val="0"/>
        <w:autoSpaceDN w:val="0"/>
        <w:adjustRightInd w:val="0"/>
        <w:jc w:val="both"/>
        <w:rPr>
          <w:b/>
        </w:rPr>
      </w:pPr>
    </w:p>
    <w:p w14:paraId="1594B755" w14:textId="77777777" w:rsidR="009D1E32" w:rsidRDefault="009D1E32" w:rsidP="004F34AD">
      <w:pPr>
        <w:widowControl w:val="0"/>
        <w:autoSpaceDE w:val="0"/>
        <w:autoSpaceDN w:val="0"/>
        <w:adjustRightInd w:val="0"/>
        <w:jc w:val="both"/>
        <w:rPr>
          <w:b/>
        </w:rPr>
      </w:pPr>
      <w:r>
        <w:rPr>
          <w:b/>
        </w:rPr>
        <w:t xml:space="preserve">Küsimus nr </w:t>
      </w:r>
      <w:r w:rsidR="004F34AD" w:rsidRPr="00045077">
        <w:rPr>
          <w:b/>
        </w:rPr>
        <w:t>3</w:t>
      </w:r>
    </w:p>
    <w:p w14:paraId="0549E870" w14:textId="77777777" w:rsidR="004F34AD" w:rsidRPr="00045077" w:rsidRDefault="00C84248" w:rsidP="004F34AD">
      <w:pPr>
        <w:widowControl w:val="0"/>
        <w:autoSpaceDE w:val="0"/>
        <w:autoSpaceDN w:val="0"/>
        <w:adjustRightInd w:val="0"/>
        <w:jc w:val="both"/>
        <w:rPr>
          <w:rFonts w:eastAsia="MS Mincho"/>
          <w:b/>
        </w:rPr>
      </w:pPr>
      <w:r>
        <w:rPr>
          <w:b/>
          <w:i/>
          <w:sz w:val="23"/>
          <w:szCs w:val="23"/>
        </w:rPr>
        <w:t>Kas RahaPTS § 6 lõige</w:t>
      </w:r>
      <w:r w:rsidR="003E4741" w:rsidRPr="00045077">
        <w:rPr>
          <w:b/>
          <w:i/>
          <w:sz w:val="23"/>
          <w:szCs w:val="23"/>
        </w:rPr>
        <w:t xml:space="preserve"> 4 on vastavuses Euroopa Parlamendi ja nõukogu direktiivi 2005/60/EÜ mõtte ja eesmärgiga (eelkõige artiklitega 4 ja 5) ning rahvusvahelise rahapesu ja terrorismi rahastamisega võitleva organi rahapesuvastase töökonna e</w:t>
      </w:r>
      <w:r w:rsidR="00045077">
        <w:rPr>
          <w:b/>
          <w:i/>
          <w:sz w:val="23"/>
          <w:szCs w:val="23"/>
        </w:rPr>
        <w:t>hk FATF-i</w:t>
      </w:r>
      <w:r w:rsidR="003E4741" w:rsidRPr="00045077">
        <w:rPr>
          <w:b/>
          <w:i/>
          <w:sz w:val="23"/>
          <w:szCs w:val="23"/>
        </w:rPr>
        <w:t xml:space="preserve"> soovitustega? Kas esineb vajadus eelotsuse küsimiseks Euroopa Kohtult?</w:t>
      </w:r>
    </w:p>
    <w:p w14:paraId="7F66B8C5" w14:textId="77777777" w:rsidR="004F34AD" w:rsidRDefault="004F34AD" w:rsidP="004F34AD">
      <w:pPr>
        <w:widowControl w:val="0"/>
        <w:autoSpaceDE w:val="0"/>
        <w:autoSpaceDN w:val="0"/>
        <w:adjustRightInd w:val="0"/>
        <w:jc w:val="both"/>
        <w:rPr>
          <w:rFonts w:eastAsia="MS Mincho"/>
          <w:b/>
        </w:rPr>
      </w:pPr>
    </w:p>
    <w:p w14:paraId="22CB6497" w14:textId="77777777" w:rsidR="009D1E32" w:rsidRDefault="009D1E32" w:rsidP="004F34AD">
      <w:pPr>
        <w:widowControl w:val="0"/>
        <w:autoSpaceDE w:val="0"/>
        <w:autoSpaceDN w:val="0"/>
        <w:adjustRightInd w:val="0"/>
        <w:jc w:val="both"/>
        <w:rPr>
          <w:rFonts w:eastAsia="MS Mincho"/>
          <w:b/>
        </w:rPr>
      </w:pPr>
      <w:r w:rsidRPr="009D1E32">
        <w:rPr>
          <w:rFonts w:eastAsia="MS Mincho"/>
          <w:b/>
        </w:rPr>
        <w:t>Finantsinspektsiooni vastus</w:t>
      </w:r>
    </w:p>
    <w:p w14:paraId="6FDEB49E" w14:textId="77777777" w:rsidR="009D1E32" w:rsidRPr="00B44C16" w:rsidRDefault="009D1E32" w:rsidP="004F34AD">
      <w:pPr>
        <w:widowControl w:val="0"/>
        <w:autoSpaceDE w:val="0"/>
        <w:autoSpaceDN w:val="0"/>
        <w:adjustRightInd w:val="0"/>
        <w:jc w:val="both"/>
        <w:rPr>
          <w:rFonts w:eastAsia="MS Mincho"/>
          <w:b/>
        </w:rPr>
      </w:pPr>
    </w:p>
    <w:p w14:paraId="7A6F5722" w14:textId="77777777" w:rsidR="00C84154" w:rsidRDefault="00702178" w:rsidP="00C84154">
      <w:pPr>
        <w:widowControl w:val="0"/>
        <w:autoSpaceDE w:val="0"/>
        <w:autoSpaceDN w:val="0"/>
        <w:adjustRightInd w:val="0"/>
        <w:ind w:left="284"/>
        <w:jc w:val="both"/>
        <w:rPr>
          <w:rFonts w:eastAsia="MS Mincho"/>
        </w:rPr>
      </w:pPr>
      <w:r>
        <w:rPr>
          <w:rFonts w:eastAsia="MS Mincho"/>
        </w:rPr>
        <w:t xml:space="preserve">Arvestades eelnevaid vastuseid küsimustele </w:t>
      </w:r>
      <w:r w:rsidR="007D2D1C">
        <w:rPr>
          <w:rFonts w:eastAsia="MS Mincho"/>
        </w:rPr>
        <w:t xml:space="preserve">nr </w:t>
      </w:r>
      <w:r>
        <w:rPr>
          <w:rFonts w:eastAsia="MS Mincho"/>
        </w:rPr>
        <w:t xml:space="preserve">1 ja 2, siis </w:t>
      </w:r>
      <w:r w:rsidR="004F34AD" w:rsidRPr="00B44C16">
        <w:rPr>
          <w:rFonts w:eastAsia="MS Mincho"/>
        </w:rPr>
        <w:t xml:space="preserve">RahaPTS § 6 lõige 4 </w:t>
      </w:r>
      <w:r>
        <w:rPr>
          <w:rFonts w:eastAsia="MS Mincho"/>
        </w:rPr>
        <w:t xml:space="preserve">on </w:t>
      </w:r>
      <w:r w:rsidR="004F34AD" w:rsidRPr="00B44C16">
        <w:rPr>
          <w:rFonts w:eastAsia="MS Mincho"/>
        </w:rPr>
        <w:t>vastavuses FATF</w:t>
      </w:r>
      <w:r w:rsidR="00045077">
        <w:rPr>
          <w:rFonts w:eastAsia="MS Mincho"/>
        </w:rPr>
        <w:t>-</w:t>
      </w:r>
      <w:r w:rsidR="004F34AD" w:rsidRPr="00B44C16">
        <w:rPr>
          <w:rFonts w:eastAsia="MS Mincho"/>
        </w:rPr>
        <w:t>i soovitustega</w:t>
      </w:r>
      <w:r>
        <w:rPr>
          <w:rFonts w:eastAsia="MS Mincho"/>
        </w:rPr>
        <w:t xml:space="preserve">, kuivõrd </w:t>
      </w:r>
      <w:r w:rsidR="004F34AD" w:rsidRPr="00B44C16">
        <w:rPr>
          <w:rFonts w:eastAsia="MS Mincho"/>
        </w:rPr>
        <w:t xml:space="preserve">FATF on enda juhendis kutsunud üles käsitlema virtuaalraha teenuse pakkujaid </w:t>
      </w:r>
      <w:r w:rsidR="004F34AD" w:rsidRPr="00B44C16">
        <w:t>raha või alternatiivse maksevahe</w:t>
      </w:r>
      <w:r>
        <w:t>ndi ülekandeteenuse pakkujatena</w:t>
      </w:r>
      <w:r w:rsidR="004F34AD" w:rsidRPr="00B44C16">
        <w:t xml:space="preserve"> </w:t>
      </w:r>
      <w:r w:rsidR="004F34AD" w:rsidRPr="00B44C16">
        <w:rPr>
          <w:rFonts w:eastAsia="MS Mincho"/>
        </w:rPr>
        <w:t xml:space="preserve">ning kooskõlas ka </w:t>
      </w:r>
      <w:r>
        <w:rPr>
          <w:rFonts w:eastAsia="MS Mincho"/>
        </w:rPr>
        <w:t>kolmanda</w:t>
      </w:r>
      <w:r w:rsidR="004F34AD" w:rsidRPr="00B44C16">
        <w:rPr>
          <w:rFonts w:eastAsia="MS Mincho"/>
        </w:rPr>
        <w:t xml:space="preserve"> rahapesu tõkestamise direktiivi mõtte ja eesmärgiga</w:t>
      </w:r>
      <w:r>
        <w:rPr>
          <w:rFonts w:eastAsia="MS Mincho"/>
        </w:rPr>
        <w:t>.</w:t>
      </w:r>
      <w:r w:rsidR="004F34AD" w:rsidRPr="00B44C16">
        <w:rPr>
          <w:rFonts w:eastAsia="MS Mincho"/>
        </w:rPr>
        <w:t xml:space="preserve"> </w:t>
      </w:r>
    </w:p>
    <w:p w14:paraId="5E91D8D5" w14:textId="77777777" w:rsidR="00C84154" w:rsidRDefault="00C84154" w:rsidP="00C84154">
      <w:pPr>
        <w:widowControl w:val="0"/>
        <w:autoSpaceDE w:val="0"/>
        <w:autoSpaceDN w:val="0"/>
        <w:adjustRightInd w:val="0"/>
        <w:ind w:left="284"/>
        <w:jc w:val="both"/>
        <w:rPr>
          <w:rFonts w:eastAsia="MS Mincho"/>
        </w:rPr>
      </w:pPr>
    </w:p>
    <w:p w14:paraId="4DC40157" w14:textId="1C6EB7E7" w:rsidR="004F34AD" w:rsidRDefault="004B258F" w:rsidP="00C84154">
      <w:pPr>
        <w:widowControl w:val="0"/>
        <w:autoSpaceDE w:val="0"/>
        <w:autoSpaceDN w:val="0"/>
        <w:adjustRightInd w:val="0"/>
        <w:ind w:left="284"/>
        <w:jc w:val="both"/>
        <w:rPr>
          <w:rFonts w:eastAsia="MS Mincho"/>
        </w:rPr>
      </w:pPr>
      <w:r>
        <w:rPr>
          <w:rFonts w:eastAsia="MS Mincho"/>
        </w:rPr>
        <w:t xml:space="preserve">RahaPTS § 6 lõige 4 </w:t>
      </w:r>
      <w:r w:rsidR="00037F44">
        <w:rPr>
          <w:rFonts w:eastAsia="MS Mincho"/>
        </w:rPr>
        <w:t xml:space="preserve">ei ole </w:t>
      </w:r>
      <w:r>
        <w:rPr>
          <w:rFonts w:eastAsia="MS Mincho"/>
        </w:rPr>
        <w:t>kolmanda rahapesu tõkestamise direktiiviga</w:t>
      </w:r>
      <w:r w:rsidR="00037F44">
        <w:rPr>
          <w:rFonts w:eastAsia="MS Mincho"/>
        </w:rPr>
        <w:t xml:space="preserve"> vastuolus</w:t>
      </w:r>
      <w:r>
        <w:rPr>
          <w:rFonts w:eastAsia="MS Mincho"/>
        </w:rPr>
        <w:t xml:space="preserve">, sest miinimumharmoniseeritav direktiiv </w:t>
      </w:r>
      <w:r w:rsidR="00037F44">
        <w:rPr>
          <w:rFonts w:eastAsia="MS Mincho"/>
        </w:rPr>
        <w:t xml:space="preserve">annab võimaluse laiendada vastavat raamistikku teiste seas </w:t>
      </w:r>
      <w:r>
        <w:rPr>
          <w:rFonts w:eastAsia="MS Mincho"/>
        </w:rPr>
        <w:t>alternatiivsete maksevahendite teenuse pakkujale</w:t>
      </w:r>
      <w:r w:rsidR="00037F44">
        <w:rPr>
          <w:rFonts w:eastAsia="MS Mincho"/>
        </w:rPr>
        <w:t xml:space="preserve">. </w:t>
      </w:r>
      <w:r w:rsidR="005D102A">
        <w:rPr>
          <w:rFonts w:eastAsia="MS Mincho"/>
        </w:rPr>
        <w:t>Nimetatud d</w:t>
      </w:r>
      <w:r w:rsidR="00037F44">
        <w:rPr>
          <w:rFonts w:eastAsia="MS Mincho"/>
        </w:rPr>
        <w:t xml:space="preserve">irektiivi artikli 4 teise lõike kohaselt, </w:t>
      </w:r>
      <w:r w:rsidR="00037F44">
        <w:rPr>
          <w:rFonts w:eastAsia="MS Mincho" w:hint="eastAsia"/>
        </w:rPr>
        <w:t>k</w:t>
      </w:r>
      <w:r w:rsidR="00037F44" w:rsidRPr="00037F44">
        <w:rPr>
          <w:rFonts w:eastAsia="MS Mincho" w:hint="eastAsia"/>
        </w:rPr>
        <w:t>ui liikmesri</w:t>
      </w:r>
      <w:r w:rsidR="005D102A">
        <w:rPr>
          <w:rFonts w:eastAsia="MS Mincho" w:hint="eastAsia"/>
        </w:rPr>
        <w:t xml:space="preserve">ik otsustab laiendada </w:t>
      </w:r>
      <w:r w:rsidR="00037F44" w:rsidRPr="00037F44">
        <w:rPr>
          <w:rFonts w:eastAsia="MS Mincho" w:hint="eastAsia"/>
        </w:rPr>
        <w:t>direktiivi sätteid artikli 2 lõikes 1 nimetamata elukutsetele ja ettevõtjate kategooriatele, siis teatab ta sellest komisjonile.</w:t>
      </w:r>
      <w:r w:rsidR="00037F44">
        <w:rPr>
          <w:rFonts w:eastAsia="MS Mincho"/>
        </w:rPr>
        <w:t xml:space="preserve"> </w:t>
      </w:r>
      <w:r w:rsidR="005D102A" w:rsidRPr="005D102A">
        <w:rPr>
          <w:rFonts w:eastAsia="MS Mincho" w:hint="eastAsia"/>
        </w:rPr>
        <w:t>Liikmesriigid võivad direktiiviga reguleeritud valdkonnas rahapesu ja terrorismi rahastamise tõkestamiseks vastu võtta või kehtima jätta käesoleva direktiivi sätetest rangemad sätted</w:t>
      </w:r>
      <w:r w:rsidR="005D102A">
        <w:rPr>
          <w:rFonts w:eastAsia="MS Mincho"/>
        </w:rPr>
        <w:t xml:space="preserve"> (artikkel 5)</w:t>
      </w:r>
      <w:r w:rsidR="005D102A" w:rsidRPr="005D102A">
        <w:rPr>
          <w:rFonts w:eastAsia="MS Mincho" w:hint="eastAsia"/>
        </w:rPr>
        <w:t>.</w:t>
      </w:r>
      <w:r w:rsidR="005D102A">
        <w:rPr>
          <w:rFonts w:eastAsia="MS Mincho"/>
        </w:rPr>
        <w:t xml:space="preserve"> </w:t>
      </w:r>
      <w:r w:rsidR="00702178">
        <w:rPr>
          <w:rFonts w:eastAsia="MS Mincho"/>
        </w:rPr>
        <w:t xml:space="preserve">Sellest tulenevalt ei </w:t>
      </w:r>
      <w:r w:rsidR="003E68B7">
        <w:rPr>
          <w:rFonts w:eastAsia="MS Mincho"/>
        </w:rPr>
        <w:t xml:space="preserve">näe </w:t>
      </w:r>
      <w:r w:rsidR="00702178">
        <w:rPr>
          <w:rFonts w:eastAsia="MS Mincho"/>
        </w:rPr>
        <w:t>Finantsinspektsioon vajadust küsida Euroopa Kohtult eelotsust.</w:t>
      </w:r>
    </w:p>
    <w:p w14:paraId="73744ED4" w14:textId="77777777" w:rsidR="00A92DDE" w:rsidRDefault="00A92DDE" w:rsidP="004F34AD">
      <w:pPr>
        <w:widowControl w:val="0"/>
        <w:autoSpaceDE w:val="0"/>
        <w:autoSpaceDN w:val="0"/>
        <w:adjustRightInd w:val="0"/>
        <w:jc w:val="both"/>
      </w:pPr>
    </w:p>
    <w:p w14:paraId="50010E41" w14:textId="77777777" w:rsidR="009D1E32" w:rsidRDefault="009D1E32" w:rsidP="004F34AD">
      <w:pPr>
        <w:widowControl w:val="0"/>
        <w:autoSpaceDE w:val="0"/>
        <w:autoSpaceDN w:val="0"/>
        <w:adjustRightInd w:val="0"/>
        <w:jc w:val="both"/>
      </w:pPr>
    </w:p>
    <w:p w14:paraId="538CBB8A" w14:textId="77777777" w:rsidR="009D1E32" w:rsidRDefault="009D1E32" w:rsidP="004F34AD">
      <w:pPr>
        <w:widowControl w:val="0"/>
        <w:autoSpaceDE w:val="0"/>
        <w:autoSpaceDN w:val="0"/>
        <w:adjustRightInd w:val="0"/>
        <w:jc w:val="both"/>
        <w:rPr>
          <w:b/>
        </w:rPr>
      </w:pPr>
      <w:r>
        <w:rPr>
          <w:b/>
        </w:rPr>
        <w:t xml:space="preserve">Küsimus nr </w:t>
      </w:r>
      <w:r w:rsidR="004F34AD" w:rsidRPr="009D7DD9">
        <w:rPr>
          <w:b/>
        </w:rPr>
        <w:t>4</w:t>
      </w:r>
    </w:p>
    <w:p w14:paraId="5903747F" w14:textId="77777777" w:rsidR="004F34AD" w:rsidRPr="009D7DD9" w:rsidRDefault="003E4741" w:rsidP="004F34AD">
      <w:pPr>
        <w:widowControl w:val="0"/>
        <w:autoSpaceDE w:val="0"/>
        <w:autoSpaceDN w:val="0"/>
        <w:adjustRightInd w:val="0"/>
        <w:jc w:val="both"/>
        <w:rPr>
          <w:b/>
        </w:rPr>
      </w:pPr>
      <w:r w:rsidRPr="009D7DD9">
        <w:rPr>
          <w:b/>
          <w:i/>
          <w:sz w:val="23"/>
          <w:szCs w:val="23"/>
        </w:rPr>
        <w:t xml:space="preserve">Kui </w:t>
      </w:r>
      <w:r w:rsidRPr="009D7DD9">
        <w:rPr>
          <w:b/>
          <w:i/>
          <w:iCs/>
          <w:sz w:val="23"/>
          <w:szCs w:val="23"/>
        </w:rPr>
        <w:t>bitcoin</w:t>
      </w:r>
      <w:r w:rsidRPr="009D7DD9">
        <w:rPr>
          <w:b/>
          <w:i/>
          <w:sz w:val="23"/>
          <w:szCs w:val="23"/>
        </w:rPr>
        <w:t xml:space="preserve">ide vahetamisteenuse pakkuja on käsitatav alternatiivsete maksevahendite </w:t>
      </w:r>
      <w:r w:rsidR="009D7DD9">
        <w:rPr>
          <w:b/>
          <w:i/>
          <w:sz w:val="23"/>
          <w:szCs w:val="23"/>
        </w:rPr>
        <w:t>teenuse pakkujana RahaPTS § 6 lõike</w:t>
      </w:r>
      <w:r w:rsidRPr="009D7DD9">
        <w:rPr>
          <w:b/>
          <w:i/>
          <w:sz w:val="23"/>
          <w:szCs w:val="23"/>
        </w:rPr>
        <w:t xml:space="preserve"> 4 mõttes ning seeläbi finantseerimisasutuseks, siis kas virtuaalsete valuutade vahetamisteenuse pakkuja tegevuse üle järelevalve teostamiseks on Eesti õiguslik regulatsioon teenusepakkuja ja järelevalveasutuste õiguste ja kohustuste sätestamisel kohane ja </w:t>
      </w:r>
      <w:r w:rsidR="009D7DD9">
        <w:rPr>
          <w:b/>
          <w:i/>
          <w:sz w:val="23"/>
          <w:szCs w:val="23"/>
        </w:rPr>
        <w:t>piisav ning põhiseaduse § 13 lõike</w:t>
      </w:r>
      <w:r w:rsidRPr="009D7DD9">
        <w:rPr>
          <w:b/>
          <w:i/>
          <w:sz w:val="23"/>
          <w:szCs w:val="23"/>
        </w:rPr>
        <w:t xml:space="preserve">s 2 sätestatud õigusselguse põhimõttega kooskõlas? Kas </w:t>
      </w:r>
      <w:r w:rsidRPr="009D7DD9">
        <w:rPr>
          <w:b/>
          <w:i/>
          <w:iCs/>
          <w:sz w:val="23"/>
          <w:szCs w:val="23"/>
        </w:rPr>
        <w:t>bitcoin</w:t>
      </w:r>
      <w:r w:rsidRPr="009D7DD9">
        <w:rPr>
          <w:b/>
          <w:i/>
          <w:sz w:val="23"/>
          <w:szCs w:val="23"/>
        </w:rPr>
        <w:t>ide kui virtuaalse valuuta olemusest tulenevad eripärad eeldaksid õigusaktides (nt RahaPTS-s) järelevalve eriregulatsiooni kehtestamist?</w:t>
      </w:r>
    </w:p>
    <w:p w14:paraId="74992465" w14:textId="77777777" w:rsidR="008D126B" w:rsidRDefault="008D126B" w:rsidP="004F34AD">
      <w:pPr>
        <w:widowControl w:val="0"/>
        <w:autoSpaceDE w:val="0"/>
        <w:autoSpaceDN w:val="0"/>
        <w:adjustRightInd w:val="0"/>
        <w:jc w:val="both"/>
        <w:rPr>
          <w:i/>
        </w:rPr>
      </w:pPr>
    </w:p>
    <w:p w14:paraId="1C383AE6" w14:textId="77777777" w:rsidR="00C84154" w:rsidRDefault="00C84154" w:rsidP="004F34AD">
      <w:pPr>
        <w:widowControl w:val="0"/>
        <w:autoSpaceDE w:val="0"/>
        <w:autoSpaceDN w:val="0"/>
        <w:adjustRightInd w:val="0"/>
        <w:jc w:val="both"/>
        <w:rPr>
          <w:i/>
        </w:rPr>
      </w:pPr>
    </w:p>
    <w:p w14:paraId="321624FD" w14:textId="77777777" w:rsidR="009D1E32" w:rsidRPr="007A5218" w:rsidRDefault="009D1E32" w:rsidP="004F34AD">
      <w:pPr>
        <w:widowControl w:val="0"/>
        <w:autoSpaceDE w:val="0"/>
        <w:autoSpaceDN w:val="0"/>
        <w:adjustRightInd w:val="0"/>
        <w:jc w:val="both"/>
        <w:rPr>
          <w:b/>
        </w:rPr>
      </w:pPr>
      <w:r w:rsidRPr="007A5218">
        <w:rPr>
          <w:b/>
        </w:rPr>
        <w:lastRenderedPageBreak/>
        <w:t>Finantsinspektsiooni vastus</w:t>
      </w:r>
    </w:p>
    <w:p w14:paraId="1695BFC6" w14:textId="77777777" w:rsidR="008D126B" w:rsidRDefault="008D126B" w:rsidP="008D126B">
      <w:pPr>
        <w:jc w:val="both"/>
      </w:pPr>
    </w:p>
    <w:p w14:paraId="09EADBCF" w14:textId="3F66E232" w:rsidR="008D126B" w:rsidRDefault="008D126B" w:rsidP="00455789">
      <w:pPr>
        <w:ind w:left="284"/>
        <w:jc w:val="both"/>
      </w:pPr>
      <w:r>
        <w:t>Isikul, kes on alternatiivsete maksevahendite teenuse pakkuja (RahaPTS § 6 lg 4), pea</w:t>
      </w:r>
      <w:r w:rsidR="006F78BD">
        <w:t>b olema</w:t>
      </w:r>
      <w:r>
        <w:t xml:space="preserve"> tegevusluba (RahaPTS § 52 lg 1 p 4), mille annab Politsei ja Piirivalve</w:t>
      </w:r>
      <w:r w:rsidR="007D2D1C">
        <w:t xml:space="preserve">ameti iseseisev struktuuriüksus, elik RAB </w:t>
      </w:r>
      <w:r>
        <w:t>(RahaPTS § 52</w:t>
      </w:r>
      <w:r>
        <w:rPr>
          <w:vertAlign w:val="superscript"/>
        </w:rPr>
        <w:t>1</w:t>
      </w:r>
      <w:r>
        <w:t>). RAB teostab järelevalvet RahaPTS ja selle alusel antud õigusaktide nõuete täitmise üle (RahaPTS § 47 lg 1). RAB-il on muu hulgas õigus ettekirjutuse alusel kohustatud isikult saada teavet rahapesu ja terrorismi rahastamise kahtlusega seotud asjaolude, tehingute ja isikute kohta (RahaPTS § 41 lg 1).</w:t>
      </w:r>
      <w:r w:rsidR="006F78BD" w:rsidRPr="006F78BD">
        <w:t xml:space="preserve"> </w:t>
      </w:r>
      <w:r w:rsidR="00112068">
        <w:t xml:space="preserve">Samuti on </w:t>
      </w:r>
      <w:r w:rsidR="006F78BD" w:rsidRPr="00B44C16">
        <w:t>R</w:t>
      </w:r>
      <w:r w:rsidR="00112068">
        <w:t xml:space="preserve">AB-il </w:t>
      </w:r>
      <w:r w:rsidR="006F78BD" w:rsidRPr="00B44C16">
        <w:t>kohapealse kontrolli teostamise õigus (Rah</w:t>
      </w:r>
      <w:r w:rsidR="00112068">
        <w:t>aPTS § 48 lg-d 1 ja 2</w:t>
      </w:r>
      <w:r w:rsidR="007D2D1C">
        <w:t xml:space="preserve">), </w:t>
      </w:r>
      <w:r w:rsidR="006F78BD" w:rsidRPr="00B44C16">
        <w:t xml:space="preserve">andmete väljanõudmise õigus (RahaPTS </w:t>
      </w:r>
      <w:r w:rsidR="00112068">
        <w:t>§ 48 lg</w:t>
      </w:r>
      <w:r w:rsidR="007D2D1C">
        <w:t xml:space="preserve"> 3) ning õigus </w:t>
      </w:r>
      <w:r w:rsidR="006F78BD" w:rsidRPr="00B44C16">
        <w:t>võtta meetmeid tuvastatud rikkumiste kõ</w:t>
      </w:r>
      <w:r w:rsidR="00112068">
        <w:t>rvaldamiseks (RahaPTS § 37 lg 1 p 10, § 38 lg-</w:t>
      </w:r>
      <w:r w:rsidR="006F78BD" w:rsidRPr="00B44C16">
        <w:t>d 1 ja 4 ning §</w:t>
      </w:r>
      <w:r w:rsidR="00112068">
        <w:t xml:space="preserve"> 65 lg</w:t>
      </w:r>
      <w:r w:rsidR="006F78BD" w:rsidRPr="00B44C16">
        <w:t xml:space="preserve"> 2).</w:t>
      </w:r>
    </w:p>
    <w:p w14:paraId="11FF559D" w14:textId="77777777" w:rsidR="008D126B" w:rsidRDefault="008D126B" w:rsidP="00455789">
      <w:pPr>
        <w:ind w:left="284"/>
        <w:jc w:val="both"/>
      </w:pPr>
    </w:p>
    <w:p w14:paraId="0B843178" w14:textId="77777777" w:rsidR="008D126B" w:rsidRDefault="008D126B" w:rsidP="00455789">
      <w:pPr>
        <w:ind w:left="284"/>
        <w:jc w:val="both"/>
      </w:pPr>
      <w:r>
        <w:t>Teenuse pakkujale kehtivad RahaPTS-ist tulenevad nõuded, mida ta peab täitma. Nendeks on hoolsusmeetmete rakendamine (RahaPTS §</w:t>
      </w:r>
      <w:r w:rsidR="00112068">
        <w:t>-d</w:t>
      </w:r>
      <w:r>
        <w:t xml:space="preserve"> 12-22), andmete kogumine ja säilitamine (RahaPTS §</w:t>
      </w:r>
      <w:r w:rsidR="00112068">
        <w:t>-d</w:t>
      </w:r>
      <w:r>
        <w:t xml:space="preserve"> 23-26), rahapesu ja terrorismi rahastamisega seotud riskide juhtimine (RahaPTS §</w:t>
      </w:r>
      <w:r w:rsidR="00112068">
        <w:t>-d</w:t>
      </w:r>
      <w:r>
        <w:t xml:space="preserve"> 27-31), tegevus rahapesu ja terrorismi rahastamise kahtluse korral (RahaPTS §</w:t>
      </w:r>
      <w:r w:rsidR="00112068">
        <w:t>-d</w:t>
      </w:r>
      <w:r>
        <w:t xml:space="preserve"> 32-35).</w:t>
      </w:r>
      <w:r w:rsidR="00BD5126">
        <w:t xml:space="preserve"> Välja tuleb tuua, et RahaPTS § 15 lõige 8 sätestab, et alternatiivsete maksevahendite teenuse pakkuja on kohustatud </w:t>
      </w:r>
      <w:r w:rsidR="00D42896">
        <w:t>(</w:t>
      </w:r>
      <w:r w:rsidR="00BD5126">
        <w:t xml:space="preserve">1) tuvastama iga kliendi isikusamasuse ärisuhte loomisel ja tehingu tegemisel kliendiga samas kohas viibides, kui selle kliendi tehingute väärtus kalendrikuus ületab 1000 eurot või võrdväärse summa muus vääringus ning </w:t>
      </w:r>
      <w:r w:rsidR="00D42896">
        <w:t>(</w:t>
      </w:r>
      <w:r w:rsidR="00BD5126">
        <w:t>2) mitme kliendi vahelise tehingu vahendamisel tuvastama iga tehingus osaleva isiku isikusamasuse ja esitatud teavet kontrollima.</w:t>
      </w:r>
    </w:p>
    <w:p w14:paraId="696A7C5E" w14:textId="77777777" w:rsidR="00112068" w:rsidRDefault="00112068" w:rsidP="00455789">
      <w:pPr>
        <w:ind w:left="284"/>
        <w:jc w:val="both"/>
      </w:pPr>
    </w:p>
    <w:p w14:paraId="35320FB2" w14:textId="38608A77" w:rsidR="00D42896" w:rsidRDefault="005D102A" w:rsidP="00455789">
      <w:pPr>
        <w:ind w:left="284"/>
        <w:jc w:val="both"/>
      </w:pPr>
      <w:r>
        <w:t xml:space="preserve">Finantsturul alaliselt </w:t>
      </w:r>
      <w:r w:rsidR="00B97D33">
        <w:t>tegutsevatel</w:t>
      </w:r>
      <w:r>
        <w:t xml:space="preserve"> ja eriti seal </w:t>
      </w:r>
      <w:r w:rsidR="00B97D33">
        <w:t xml:space="preserve">teistele teenuseid osutavatel isikutel lasub eeldus </w:t>
      </w:r>
      <w:r w:rsidR="000570DE">
        <w:t xml:space="preserve">aktiivselt </w:t>
      </w:r>
      <w:r w:rsidR="00B97D33">
        <w:t>viia ennast kurssi ja olla kursis nende vastavat tegevust reguleerivate erialaste normidega. See eeldus mõjutab õigusselguse põhimõtte</w:t>
      </w:r>
      <w:r w:rsidR="000570DE">
        <w:t xml:space="preserve"> rakendamist.</w:t>
      </w:r>
      <w:r w:rsidR="00B97D33">
        <w:t xml:space="preserve"> </w:t>
      </w:r>
      <w:r w:rsidR="000570DE">
        <w:t>R</w:t>
      </w:r>
      <w:r w:rsidR="00112068">
        <w:t xml:space="preserve">egulatsioon järelevalveasutuse kui ka teenuse pakkuja õiguste ja kohustuste osas </w:t>
      </w:r>
      <w:r w:rsidR="000570DE">
        <w:t>selguse poolest ei erine tavapärasest finantssektoris</w:t>
      </w:r>
      <w:r w:rsidR="00112068">
        <w:t>.</w:t>
      </w:r>
      <w:r w:rsidR="00112068">
        <w:t xml:space="preserve"> </w:t>
      </w:r>
    </w:p>
    <w:p w14:paraId="5C90E891" w14:textId="77777777" w:rsidR="00D42896" w:rsidRDefault="00D42896" w:rsidP="00455789">
      <w:pPr>
        <w:ind w:left="284"/>
        <w:jc w:val="both"/>
      </w:pPr>
    </w:p>
    <w:p w14:paraId="3E36F8C3" w14:textId="77777777" w:rsidR="00112068" w:rsidRDefault="00D42896" w:rsidP="00455789">
      <w:pPr>
        <w:ind w:left="284"/>
        <w:jc w:val="both"/>
      </w:pPr>
      <w:r w:rsidRPr="00D42896">
        <w:t>Kui riik peab oluliseks, siis on alati võimalik seada täiendavaid eriregulatsioone, kuid nende vajalikkuse ning eesmärkide üle otsustamine eeldab kohast riiklikku menetlust.</w:t>
      </w:r>
      <w:r>
        <w:t xml:space="preserve"> Samas on kehtiva seaduse alusel (RahaPTS § 6 lg 4) tuvastatav, kes on al</w:t>
      </w:r>
      <w:r w:rsidR="00B2502D">
        <w:t>ternatiivse maksevahendi</w:t>
      </w:r>
      <w:r w:rsidRPr="00D42896">
        <w:t xml:space="preserve"> teenuse pakkuja</w:t>
      </w:r>
      <w:r>
        <w:t>.</w:t>
      </w:r>
      <w:r w:rsidR="00112068">
        <w:t xml:space="preserve"> </w:t>
      </w:r>
    </w:p>
    <w:p w14:paraId="5DF234DE" w14:textId="77777777" w:rsidR="004F34AD" w:rsidRDefault="004F34AD" w:rsidP="004F34AD">
      <w:pPr>
        <w:jc w:val="both"/>
      </w:pPr>
    </w:p>
    <w:p w14:paraId="2FE3154C" w14:textId="77777777" w:rsidR="009D1E32" w:rsidRPr="00B44C16" w:rsidRDefault="009D1E32" w:rsidP="004F34AD">
      <w:pPr>
        <w:jc w:val="both"/>
      </w:pPr>
    </w:p>
    <w:p w14:paraId="35B4C69F" w14:textId="77777777" w:rsidR="009D1E32" w:rsidRDefault="009D1E32" w:rsidP="00D97015">
      <w:pPr>
        <w:jc w:val="both"/>
        <w:rPr>
          <w:b/>
        </w:rPr>
      </w:pPr>
      <w:r>
        <w:rPr>
          <w:b/>
        </w:rPr>
        <w:t xml:space="preserve">Küsimus nr </w:t>
      </w:r>
      <w:r w:rsidR="004F34AD" w:rsidRPr="009D7DD9">
        <w:rPr>
          <w:b/>
        </w:rPr>
        <w:t>5</w:t>
      </w:r>
    </w:p>
    <w:p w14:paraId="73349C92" w14:textId="77777777" w:rsidR="004F34AD" w:rsidRPr="009D7DD9" w:rsidRDefault="003E4741" w:rsidP="00D97015">
      <w:pPr>
        <w:jc w:val="both"/>
        <w:rPr>
          <w:b/>
        </w:rPr>
      </w:pPr>
      <w:r w:rsidRPr="009D7DD9">
        <w:rPr>
          <w:b/>
          <w:i/>
          <w:sz w:val="23"/>
          <w:szCs w:val="23"/>
        </w:rPr>
        <w:t xml:space="preserve">Kas tulenevalt </w:t>
      </w:r>
      <w:r w:rsidRPr="009D7DD9">
        <w:rPr>
          <w:b/>
          <w:i/>
          <w:iCs/>
          <w:sz w:val="23"/>
          <w:szCs w:val="23"/>
        </w:rPr>
        <w:t>bitcoin</w:t>
      </w:r>
      <w:r w:rsidRPr="009D7DD9">
        <w:rPr>
          <w:b/>
          <w:i/>
          <w:sz w:val="23"/>
          <w:szCs w:val="23"/>
        </w:rPr>
        <w:t xml:space="preserve">idega tehtavate tehingute vormistamise võimalikest eripäradest (nt </w:t>
      </w:r>
      <w:r w:rsidRPr="009D7DD9">
        <w:rPr>
          <w:b/>
          <w:i/>
          <w:iCs/>
          <w:sz w:val="23"/>
          <w:szCs w:val="23"/>
        </w:rPr>
        <w:t xml:space="preserve">bitcoin </w:t>
      </w:r>
      <w:r w:rsidRPr="009D7DD9">
        <w:rPr>
          <w:b/>
          <w:i/>
          <w:sz w:val="23"/>
          <w:szCs w:val="23"/>
        </w:rPr>
        <w:t xml:space="preserve">protokollist ja reeglitest tulenev tehingupoolte anonüümsus) on </w:t>
      </w:r>
      <w:r w:rsidRPr="009D7DD9">
        <w:rPr>
          <w:b/>
          <w:i/>
          <w:iCs/>
          <w:sz w:val="23"/>
          <w:szCs w:val="23"/>
        </w:rPr>
        <w:t>bitcoin</w:t>
      </w:r>
      <w:r w:rsidRPr="009D7DD9">
        <w:rPr>
          <w:b/>
          <w:i/>
          <w:sz w:val="23"/>
          <w:szCs w:val="23"/>
        </w:rPr>
        <w:t xml:space="preserve">ide vahetamisteenuse pakkujal, arvesse võtmata seda, kas teenuse pakkuja vahendab </w:t>
      </w:r>
      <w:r w:rsidRPr="009D7DD9">
        <w:rPr>
          <w:b/>
          <w:i/>
          <w:iCs/>
          <w:sz w:val="23"/>
          <w:szCs w:val="23"/>
        </w:rPr>
        <w:t>bitcoin</w:t>
      </w:r>
      <w:r w:rsidRPr="009D7DD9">
        <w:rPr>
          <w:b/>
          <w:i/>
          <w:sz w:val="23"/>
          <w:szCs w:val="23"/>
        </w:rPr>
        <w:t xml:space="preserve">ide ostjat ja müüjat või on ise </w:t>
      </w:r>
      <w:r w:rsidRPr="009D7DD9">
        <w:rPr>
          <w:b/>
          <w:i/>
          <w:iCs/>
          <w:sz w:val="23"/>
          <w:szCs w:val="23"/>
        </w:rPr>
        <w:t>bitcoin</w:t>
      </w:r>
      <w:r w:rsidRPr="009D7DD9">
        <w:rPr>
          <w:b/>
          <w:i/>
          <w:sz w:val="23"/>
          <w:szCs w:val="23"/>
        </w:rPr>
        <w:t xml:space="preserve">ide ostjaks või müüjaks, õiguslik kohustus ja ka võimalus klientide andmeid talletada ja hoolsuskohustust järgida (nt klientide isikusamasust kontrollida)? Kui jah, siis millisel õiguslikul alusel ja millisel tehnilisel viisil, et oleks tagatud </w:t>
      </w:r>
      <w:r w:rsidRPr="009D7DD9">
        <w:rPr>
          <w:b/>
          <w:i/>
          <w:iCs/>
          <w:sz w:val="23"/>
          <w:szCs w:val="23"/>
        </w:rPr>
        <w:t>bitcoin</w:t>
      </w:r>
      <w:r w:rsidRPr="009D7DD9">
        <w:rPr>
          <w:b/>
          <w:i/>
          <w:sz w:val="23"/>
          <w:szCs w:val="23"/>
        </w:rPr>
        <w:t>ide andmebaasis tehtavate tehingute anonüümsus?</w:t>
      </w:r>
      <w:r w:rsidRPr="009D7DD9">
        <w:rPr>
          <w:b/>
          <w:sz w:val="23"/>
          <w:szCs w:val="23"/>
        </w:rPr>
        <w:t xml:space="preserve"> </w:t>
      </w:r>
      <w:r w:rsidR="004F34AD" w:rsidRPr="009D7DD9">
        <w:rPr>
          <w:b/>
        </w:rPr>
        <w:t xml:space="preserve"> </w:t>
      </w:r>
    </w:p>
    <w:p w14:paraId="446792F0" w14:textId="77777777" w:rsidR="004F34AD" w:rsidRDefault="004F34AD" w:rsidP="00D97015">
      <w:pPr>
        <w:jc w:val="both"/>
      </w:pPr>
    </w:p>
    <w:p w14:paraId="547CCB71" w14:textId="77777777" w:rsidR="009D1E32" w:rsidRPr="0021469F" w:rsidRDefault="009D1E32" w:rsidP="00D97015">
      <w:pPr>
        <w:jc w:val="both"/>
        <w:rPr>
          <w:b/>
        </w:rPr>
      </w:pPr>
      <w:r w:rsidRPr="009D1E32">
        <w:rPr>
          <w:b/>
        </w:rPr>
        <w:t>Finantsinspektsiooni vastus</w:t>
      </w:r>
    </w:p>
    <w:p w14:paraId="5295881D" w14:textId="77777777" w:rsidR="009D1E32" w:rsidRDefault="009D1E32" w:rsidP="00D97015">
      <w:pPr>
        <w:jc w:val="both"/>
      </w:pPr>
    </w:p>
    <w:p w14:paraId="4D93A71D" w14:textId="77777777" w:rsidR="004F34AD" w:rsidRDefault="000F5042" w:rsidP="00455789">
      <w:pPr>
        <w:ind w:left="284"/>
        <w:jc w:val="both"/>
      </w:pPr>
      <w:r>
        <w:t>Vastavalt bitcoin</w:t>
      </w:r>
      <w:r w:rsidR="004F34AD">
        <w:t>i protokollile on tehingu osapooled blokiahelas tähistatud aadressiga, mis koosneb 26 kuni 35-kohalisest</w:t>
      </w:r>
      <w:r w:rsidR="004F34AD" w:rsidRPr="008D59C1">
        <w:t xml:space="preserve"> </w:t>
      </w:r>
      <w:r w:rsidR="004F34AD">
        <w:t>tähemärkide ja numbrite jadast</w:t>
      </w:r>
      <w:r w:rsidR="004F34AD" w:rsidRPr="008D59C1">
        <w:t>,</w:t>
      </w:r>
      <w:r w:rsidR="004F34AD">
        <w:t xml:space="preserve"> kus</w:t>
      </w:r>
      <w:r w:rsidR="004F34AD" w:rsidRPr="008D59C1">
        <w:t xml:space="preserve"> </w:t>
      </w:r>
      <w:r w:rsidR="004F34AD">
        <w:t>esimesel kohal on alati number 1 või</w:t>
      </w:r>
      <w:r w:rsidR="004F34AD" w:rsidRPr="008D59C1">
        <w:t xml:space="preserve"> 3</w:t>
      </w:r>
      <w:r w:rsidR="004F34AD">
        <w:t xml:space="preserve"> (nt aadress </w:t>
      </w:r>
      <w:r w:rsidR="004F34AD" w:rsidRPr="008D59C1">
        <w:t>3J98t1WpEZ73CNmQviecrnyiWrnqRhWNLy</w:t>
      </w:r>
      <w:r w:rsidR="004F34AD">
        <w:t xml:space="preserve">). Aadress ise ei sisalda viidet konkreetsele isikule ning igal isikul on võimalik aadresse igal hetkel ilma piiranguteta juurde luua. Ühele isikule võib seega kuuluda mitu erinevat aadressi ning nende </w:t>
      </w:r>
      <w:r w:rsidR="004F34AD">
        <w:lastRenderedPageBreak/>
        <w:t xml:space="preserve">aadresside kogumit ehk neid aadresse sisaldavat faili nimetatakse bitcoini rahakotiks (ingl </w:t>
      </w:r>
      <w:r w:rsidR="004F34AD" w:rsidRPr="00DA2283">
        <w:rPr>
          <w:i/>
        </w:rPr>
        <w:t>wallet</w:t>
      </w:r>
      <w:r w:rsidR="004F34AD">
        <w:t>).</w:t>
      </w:r>
    </w:p>
    <w:p w14:paraId="347ED090" w14:textId="77777777" w:rsidR="004F34AD" w:rsidRDefault="004F34AD" w:rsidP="00455789">
      <w:pPr>
        <w:ind w:left="284"/>
        <w:jc w:val="both"/>
      </w:pPr>
    </w:p>
    <w:p w14:paraId="0013F3AA" w14:textId="77777777" w:rsidR="004F34AD" w:rsidRDefault="004F34AD" w:rsidP="00455789">
      <w:pPr>
        <w:ind w:left="284"/>
        <w:jc w:val="both"/>
      </w:pPr>
      <w:r>
        <w:t>Kui vahetamisteenuse klient s</w:t>
      </w:r>
      <w:r w:rsidR="000F5042">
        <w:t>oovib sularaha vahetada bitcoin</w:t>
      </w:r>
      <w:r>
        <w:t>ide vastu</w:t>
      </w:r>
      <w:r w:rsidR="007F118F">
        <w:t>,</w:t>
      </w:r>
      <w:r>
        <w:t xml:space="preserve"> peab leidma aset s</w:t>
      </w:r>
      <w:r w:rsidR="000F5042">
        <w:t>ularaha üleandmine ning bitcoin</w:t>
      </w:r>
      <w:r>
        <w:t xml:space="preserve">ide kandmine vahetamisteenuse pakkuja aadressilt kliendi poolt näidatud aadressile. Tehniliselt oleks sularaha üleandmise käigus võimalik </w:t>
      </w:r>
      <w:r w:rsidRPr="00A75F70">
        <w:t>isikusamasust kontrollida</w:t>
      </w:r>
      <w:r>
        <w:t xml:space="preserve"> ja kliendi andmed selleks loodud andmebaasis talletada. See andmebaas oleks aga täiesti eraldiseisev ning ei oleks mitte kui</w:t>
      </w:r>
      <w:r w:rsidR="000F5042">
        <w:t>dagi tehniliselt seotud bitcoin</w:t>
      </w:r>
      <w:r>
        <w:t>i tehnoloogiaga. Tehingu osapoolte anonüümsus bloki</w:t>
      </w:r>
      <w:r w:rsidR="000F5042">
        <w:t>ahelas säilib vastavalt bitcoin</w:t>
      </w:r>
      <w:r>
        <w:t>i protokollile.</w:t>
      </w:r>
    </w:p>
    <w:p w14:paraId="187781F3" w14:textId="77777777" w:rsidR="004F34AD" w:rsidRDefault="004F34AD" w:rsidP="00455789">
      <w:pPr>
        <w:ind w:left="284"/>
        <w:jc w:val="both"/>
      </w:pPr>
    </w:p>
    <w:p w14:paraId="3BC0FBCE" w14:textId="77777777" w:rsidR="004F34AD" w:rsidRDefault="004F34AD" w:rsidP="00455789">
      <w:pPr>
        <w:ind w:left="284"/>
        <w:jc w:val="both"/>
      </w:pPr>
      <w:r>
        <w:t xml:space="preserve">Arvelduskontode vahendusel ülekandega vahetamisteenuse puhul saaks teenusepakkuja nõuda enne vastavalt arvelduskontolt ülekannete aktsepteerimist konto omaniku isikusamasuse tuvastamist ning kliendi andmete olemasolu </w:t>
      </w:r>
      <w:r w:rsidRPr="001B7412">
        <w:t>selleks loodud andmebaasis</w:t>
      </w:r>
      <w:r>
        <w:t>. Ka s</w:t>
      </w:r>
      <w:r w:rsidRPr="001B7412">
        <w:t>ee andmebaas oleks aga täiesti eraldiseisev ning ei oleks mitte kui</w:t>
      </w:r>
      <w:r w:rsidR="000F5042">
        <w:t>dagi tehniliselt seotud bitcoin</w:t>
      </w:r>
      <w:r w:rsidRPr="001B7412">
        <w:t>i tehnoloogiaga. Tehingu osapoolte anonüümsus bloki</w:t>
      </w:r>
      <w:r w:rsidR="000F5042">
        <w:t>ahelas säilib vastavalt bitcoin</w:t>
      </w:r>
      <w:r w:rsidRPr="001B7412">
        <w:t>i protokollile.</w:t>
      </w:r>
    </w:p>
    <w:p w14:paraId="7588DBA1" w14:textId="77777777" w:rsidR="004F34AD" w:rsidRDefault="004F34AD" w:rsidP="00455789">
      <w:pPr>
        <w:ind w:left="284"/>
        <w:jc w:val="both"/>
        <w:rPr>
          <w:highlight w:val="yellow"/>
        </w:rPr>
      </w:pPr>
    </w:p>
    <w:p w14:paraId="1E5E964B" w14:textId="77777777" w:rsidR="004F34AD" w:rsidRDefault="000F5042" w:rsidP="00455789">
      <w:pPr>
        <w:ind w:left="284"/>
        <w:jc w:val="both"/>
      </w:pPr>
      <w:r>
        <w:t>Bitcoin</w:t>
      </w:r>
      <w:r w:rsidR="004F34AD" w:rsidRPr="007574DE">
        <w:t>ide vahetamisteenuse pakkuja</w:t>
      </w:r>
      <w:r w:rsidR="004F34AD" w:rsidRPr="009642B7">
        <w:t xml:space="preserve"> õiguslik</w:t>
      </w:r>
      <w:r w:rsidR="004F34AD" w:rsidRPr="007574DE">
        <w:t xml:space="preserve"> kohustus või selle puudumine klientide andmeid talletada ja hoolsuskohustust järgida</w:t>
      </w:r>
      <w:r w:rsidR="00B2502D">
        <w:t>,</w:t>
      </w:r>
      <w:r w:rsidR="004F34AD" w:rsidRPr="007574DE">
        <w:t xml:space="preserve"> nt klientide isikusamasust kontrollida</w:t>
      </w:r>
      <w:r w:rsidR="00B2502D">
        <w:t>,</w:t>
      </w:r>
      <w:r w:rsidR="004F34AD" w:rsidRPr="007574DE">
        <w:t xml:space="preserve"> on iga </w:t>
      </w:r>
      <w:r w:rsidR="003D416B">
        <w:t xml:space="preserve">riigi enda otsus. </w:t>
      </w:r>
      <w:r w:rsidR="004F34AD" w:rsidRPr="007574DE">
        <w:t>See tähendab, et iga riik peab otsustama, kas peetakse vajalikuks</w:t>
      </w:r>
      <w:r w:rsidR="004F34AD">
        <w:t xml:space="preserve"> alternatiivse isetekkelise ma</w:t>
      </w:r>
      <w:r>
        <w:t>ksesüsteemi üle järelevalve</w:t>
      </w:r>
      <w:r w:rsidR="00B2502D">
        <w:t>,</w:t>
      </w:r>
      <w:r>
        <w:t xml:space="preserve"> sh</w:t>
      </w:r>
      <w:r w:rsidR="004F34AD">
        <w:t xml:space="preserve"> rahapesu</w:t>
      </w:r>
      <w:r w:rsidR="007F118F">
        <w:t xml:space="preserve"> </w:t>
      </w:r>
      <w:r w:rsidR="004F34AD">
        <w:t>tõkestamise alase järelevalve</w:t>
      </w:r>
      <w:r w:rsidR="00B2502D">
        <w:t xml:space="preserve">, </w:t>
      </w:r>
      <w:r w:rsidR="004F34AD">
        <w:t xml:space="preserve">teostamist või mitte. </w:t>
      </w:r>
    </w:p>
    <w:p w14:paraId="2DB876D1" w14:textId="77777777" w:rsidR="004F34AD" w:rsidRDefault="004F34AD" w:rsidP="00455789">
      <w:pPr>
        <w:ind w:left="284"/>
        <w:jc w:val="both"/>
      </w:pPr>
    </w:p>
    <w:p w14:paraId="18B2F2EA" w14:textId="77777777" w:rsidR="004F34AD" w:rsidRDefault="004F34AD" w:rsidP="00455789">
      <w:pPr>
        <w:ind w:left="284"/>
        <w:jc w:val="both"/>
      </w:pPr>
      <w:r>
        <w:t>Bitcoinide vahetamisel kehtiva vääringu vastu on võimalik vahendaja poolt kasutada meetmeid, et tuvas</w:t>
      </w:r>
      <w:r w:rsidR="001C6642">
        <w:t>tada lõppisik, kes vahetab oma b</w:t>
      </w:r>
      <w:r>
        <w:t xml:space="preserve">itcoinid kehtiva vääringu vastu või vastupidi.  </w:t>
      </w:r>
    </w:p>
    <w:p w14:paraId="241DBD52" w14:textId="77777777" w:rsidR="004F34AD" w:rsidRDefault="004F34AD" w:rsidP="00D97015">
      <w:pPr>
        <w:jc w:val="both"/>
      </w:pPr>
    </w:p>
    <w:p w14:paraId="23F4C31D" w14:textId="77777777" w:rsidR="009D1E32" w:rsidRDefault="009D1E32" w:rsidP="00D97015">
      <w:pPr>
        <w:jc w:val="both"/>
      </w:pPr>
    </w:p>
    <w:p w14:paraId="7FEDFE95" w14:textId="77777777" w:rsidR="009D1E32" w:rsidRDefault="009D1E32" w:rsidP="00D97015">
      <w:pPr>
        <w:jc w:val="both"/>
        <w:rPr>
          <w:b/>
        </w:rPr>
      </w:pPr>
      <w:r>
        <w:rPr>
          <w:b/>
        </w:rPr>
        <w:t xml:space="preserve">Küsimus nr </w:t>
      </w:r>
      <w:r w:rsidR="004F34AD" w:rsidRPr="009D7DD9">
        <w:rPr>
          <w:b/>
        </w:rPr>
        <w:t>6</w:t>
      </w:r>
    </w:p>
    <w:p w14:paraId="684C8C2B" w14:textId="77777777" w:rsidR="004F34AD" w:rsidRDefault="003E4741" w:rsidP="00D97015">
      <w:pPr>
        <w:jc w:val="both"/>
      </w:pPr>
      <w:r w:rsidRPr="009D7DD9">
        <w:rPr>
          <w:b/>
          <w:i/>
          <w:sz w:val="23"/>
          <w:szCs w:val="23"/>
        </w:rPr>
        <w:t xml:space="preserve">Kuidas toimub </w:t>
      </w:r>
      <w:r w:rsidRPr="009D7DD9">
        <w:rPr>
          <w:b/>
          <w:i/>
          <w:iCs/>
          <w:sz w:val="23"/>
          <w:szCs w:val="23"/>
        </w:rPr>
        <w:t>bitcoin</w:t>
      </w:r>
      <w:r w:rsidRPr="009D7DD9">
        <w:rPr>
          <w:b/>
          <w:i/>
          <w:sz w:val="23"/>
          <w:szCs w:val="23"/>
        </w:rPr>
        <w:t xml:space="preserve">ide ostu-müügitehingu puhul virtuaalse valuuta omandiõiguse üleminek ja selle registreerimine </w:t>
      </w:r>
      <w:r w:rsidRPr="009D7DD9">
        <w:rPr>
          <w:b/>
          <w:i/>
          <w:iCs/>
          <w:sz w:val="23"/>
          <w:szCs w:val="23"/>
        </w:rPr>
        <w:t>bitcoin</w:t>
      </w:r>
      <w:r w:rsidRPr="009D7DD9">
        <w:rPr>
          <w:b/>
          <w:i/>
          <w:sz w:val="23"/>
          <w:szCs w:val="23"/>
        </w:rPr>
        <w:t xml:space="preserve">ide andmebaasis? Kui üldse, siis milliseid andmeid näeb ja saab kontrollida vahetamisteenuse pakkuja? Kas vahetusteenuse pakkuja näeb, millise isiku arvelduskontolt on laekunud raha </w:t>
      </w:r>
      <w:r w:rsidRPr="009D7DD9">
        <w:rPr>
          <w:b/>
          <w:i/>
          <w:iCs/>
          <w:sz w:val="23"/>
          <w:szCs w:val="23"/>
        </w:rPr>
        <w:t>bitcoin</w:t>
      </w:r>
      <w:r w:rsidRPr="009D7DD9">
        <w:rPr>
          <w:b/>
          <w:i/>
          <w:sz w:val="23"/>
          <w:szCs w:val="23"/>
        </w:rPr>
        <w:t>iga tehtud tehingult?</w:t>
      </w:r>
    </w:p>
    <w:p w14:paraId="5BAA3924" w14:textId="77777777" w:rsidR="001C6642" w:rsidRDefault="001C6642" w:rsidP="00D97015">
      <w:pPr>
        <w:jc w:val="both"/>
      </w:pPr>
    </w:p>
    <w:p w14:paraId="2C5F0D05" w14:textId="77777777" w:rsidR="009D1E32" w:rsidRPr="0021469F" w:rsidRDefault="009D1E32" w:rsidP="00D97015">
      <w:pPr>
        <w:jc w:val="both"/>
        <w:rPr>
          <w:b/>
        </w:rPr>
      </w:pPr>
      <w:r w:rsidRPr="009D1E32">
        <w:rPr>
          <w:b/>
        </w:rPr>
        <w:t>Finantsinspektsiooni vastus</w:t>
      </w:r>
    </w:p>
    <w:p w14:paraId="558344B8" w14:textId="77777777" w:rsidR="009D1E32" w:rsidRPr="004F34AD" w:rsidRDefault="009D1E32" w:rsidP="00D97015">
      <w:pPr>
        <w:jc w:val="both"/>
      </w:pPr>
    </w:p>
    <w:p w14:paraId="27F020C2" w14:textId="77777777" w:rsidR="00B2502D" w:rsidRDefault="003E4741" w:rsidP="00455789">
      <w:pPr>
        <w:ind w:left="284"/>
        <w:jc w:val="both"/>
      </w:pPr>
      <w:r>
        <w:t xml:space="preserve">Bitcoinide puhul puudub keskne andmebaas ja selle asemel kasutatakse blokiahelat, mis on avalik ja mida „hoitakse“ kõigi bitcoinide kasutajate poolt nende arvutiprotsessoritel üheaegselt. </w:t>
      </w:r>
      <w:r w:rsidR="001C6642">
        <w:t xml:space="preserve">Bitcoinide liigutamisel füüsilist </w:t>
      </w:r>
      <w:r w:rsidR="002F6476">
        <w:t xml:space="preserve">bitcoini </w:t>
      </w:r>
      <w:r w:rsidR="001C6642">
        <w:t xml:space="preserve">liikumist ei toimu. </w:t>
      </w:r>
    </w:p>
    <w:p w14:paraId="42258B1E" w14:textId="77777777" w:rsidR="00B2502D" w:rsidRDefault="00B2502D" w:rsidP="00455789">
      <w:pPr>
        <w:ind w:left="284"/>
        <w:jc w:val="both"/>
      </w:pPr>
    </w:p>
    <w:p w14:paraId="3556D32B" w14:textId="77777777" w:rsidR="00DE0DCD" w:rsidRDefault="0050712A" w:rsidP="00455789">
      <w:pPr>
        <w:ind w:left="284"/>
        <w:jc w:val="both"/>
      </w:pPr>
      <w:r>
        <w:t>Lihtsustatult toimub bitcoin</w:t>
      </w:r>
      <w:r w:rsidR="00DE0DCD">
        <w:t>ide ülekanne järgnevalt</w:t>
      </w:r>
      <w:r w:rsidR="00B2502D">
        <w:t xml:space="preserve"> (lisatud joonis</w:t>
      </w:r>
      <w:r w:rsidR="00B2502D">
        <w:rPr>
          <w:rStyle w:val="FootnoteReference"/>
        </w:rPr>
        <w:footnoteReference w:id="14"/>
      </w:r>
      <w:r w:rsidR="00B2502D">
        <w:t>)</w:t>
      </w:r>
      <w:r>
        <w:t>: kasutaja</w:t>
      </w:r>
      <w:r w:rsidR="00DE0DCD">
        <w:t xml:space="preserve"> A</w:t>
      </w:r>
      <w:r>
        <w:t xml:space="preserve"> soovib kanda ühe bitcoini kasutajale </w:t>
      </w:r>
      <w:r w:rsidR="00DE0DCD">
        <w:t>B. Sell</w:t>
      </w:r>
      <w:r>
        <w:t>eks annab A oma bitcoin</w:t>
      </w:r>
      <w:r w:rsidR="00DE0DCD">
        <w:t>i kliendirakenduse abil k</w:t>
      </w:r>
      <w:r>
        <w:t>orralduse kanda üks bitcoin</w:t>
      </w:r>
      <w:r w:rsidR="00DE0DCD">
        <w:t xml:space="preserve"> B poolt esitatud bitcoini aadressile</w:t>
      </w:r>
      <w:r>
        <w:t xml:space="preserve">. </w:t>
      </w:r>
      <w:r w:rsidR="00DE0DCD">
        <w:t>A rahakotis on hoiul kõikide seal sisalduvate bitcoini aadresside privaatvõtmed, mille abil kliendirakendus allkirjastab</w:t>
      </w:r>
      <w:r>
        <w:t xml:space="preserve"> </w:t>
      </w:r>
      <w:r w:rsidR="00DE0DCD">
        <w:t>A tehinguko</w:t>
      </w:r>
      <w:r>
        <w:t xml:space="preserve">rralduse kanda üks bitcoin </w:t>
      </w:r>
      <w:r w:rsidR="00DE0DCD">
        <w:t>B-le. Iga privaatvõtmega on paaris ka avalik võti, mille abil</w:t>
      </w:r>
      <w:r>
        <w:t xml:space="preserve"> saab igaüks tuvastada, kas</w:t>
      </w:r>
      <w:r w:rsidR="00DE0DCD">
        <w:t xml:space="preserve"> A aadressi</w:t>
      </w:r>
      <w:r>
        <w:t>l on olemas piisav hulk bitcoin</w:t>
      </w:r>
      <w:r w:rsidR="00DE0DCD">
        <w:t xml:space="preserve">e, mis on vajalik ülekande edukaks sooritamiseks. </w:t>
      </w:r>
      <w:r>
        <w:t>Bitcoin</w:t>
      </w:r>
      <w:r w:rsidR="00DE0DCD">
        <w:t xml:space="preserve">ide kaevandamise eesmärgil võrgustikku lisatud arvutid koguvad kokku iga 10 minuti jooksul koostatud kõik korraldused ning teostavad krüptograafial põhineva räsifunktsiooni (ingl </w:t>
      </w:r>
      <w:r w:rsidR="00DE0DCD" w:rsidRPr="00020DD4">
        <w:rPr>
          <w:i/>
        </w:rPr>
        <w:t>hash function</w:t>
      </w:r>
      <w:r w:rsidR="00DE0DCD">
        <w:t xml:space="preserve">). Selle arvutuse tulemusena muudetakse korralduste andmed kindla pikkusega tähemärkidest ja numbritest koosnevaks jadaks, millest omakorda moodustub blokiahel. </w:t>
      </w:r>
    </w:p>
    <w:p w14:paraId="5EEFE738" w14:textId="77777777" w:rsidR="00B2502D" w:rsidRDefault="00B2502D" w:rsidP="001C6642">
      <w:pPr>
        <w:jc w:val="both"/>
      </w:pPr>
    </w:p>
    <w:p w14:paraId="34863DF0" w14:textId="77777777" w:rsidR="00B2502D" w:rsidRDefault="00B2502D" w:rsidP="001C6642">
      <w:pPr>
        <w:jc w:val="both"/>
      </w:pPr>
    </w:p>
    <w:p w14:paraId="1D02FDED" w14:textId="77777777" w:rsidR="00B2502D" w:rsidRDefault="00B2502D" w:rsidP="001C6642">
      <w:pPr>
        <w:jc w:val="both"/>
      </w:pPr>
    </w:p>
    <w:p w14:paraId="16D4297E" w14:textId="77777777" w:rsidR="00B2502D" w:rsidRDefault="00B2502D" w:rsidP="00455789">
      <w:pPr>
        <w:ind w:left="284"/>
        <w:jc w:val="both"/>
      </w:pPr>
      <w:r>
        <w:rPr>
          <w:noProof/>
        </w:rPr>
        <w:drawing>
          <wp:inline distT="0" distB="0" distL="0" distR="0" wp14:anchorId="221B9C24" wp14:editId="1841C54E">
            <wp:extent cx="2976880" cy="2099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799" cy="2123384"/>
                    </a:xfrm>
                    <a:prstGeom prst="rect">
                      <a:avLst/>
                    </a:prstGeom>
                    <a:noFill/>
                  </pic:spPr>
                </pic:pic>
              </a:graphicData>
            </a:graphic>
          </wp:inline>
        </w:drawing>
      </w:r>
    </w:p>
    <w:p w14:paraId="644889AF" w14:textId="77777777" w:rsidR="00B2502D" w:rsidRDefault="00B2502D" w:rsidP="001C6642">
      <w:pPr>
        <w:jc w:val="both"/>
      </w:pPr>
    </w:p>
    <w:p w14:paraId="4DD6E048" w14:textId="77777777" w:rsidR="00B2502D" w:rsidRDefault="00B2502D" w:rsidP="001C6642">
      <w:pPr>
        <w:jc w:val="both"/>
      </w:pPr>
    </w:p>
    <w:p w14:paraId="4766FE9A" w14:textId="77777777" w:rsidR="00B2502D" w:rsidRDefault="00B2502D" w:rsidP="001C6642">
      <w:pPr>
        <w:jc w:val="both"/>
      </w:pPr>
    </w:p>
    <w:p w14:paraId="5542289E" w14:textId="7242EDAF" w:rsidR="00DE0DCD" w:rsidRDefault="0050712A" w:rsidP="00455789">
      <w:pPr>
        <w:ind w:left="284"/>
        <w:jc w:val="both"/>
      </w:pPr>
      <w:r>
        <w:t xml:space="preserve">Kõik bitcoinidega tehtud tehingud on avalikud. </w:t>
      </w:r>
    </w:p>
    <w:p w14:paraId="661D2AF5" w14:textId="77777777" w:rsidR="001C6642" w:rsidRDefault="001C6642" w:rsidP="00455789">
      <w:pPr>
        <w:ind w:left="284"/>
        <w:jc w:val="both"/>
      </w:pPr>
    </w:p>
    <w:p w14:paraId="0805F8FC" w14:textId="77777777" w:rsidR="004F34AD" w:rsidRDefault="002F6476" w:rsidP="00455789">
      <w:pPr>
        <w:ind w:left="284"/>
        <w:jc w:val="both"/>
      </w:pPr>
      <w:r>
        <w:t>Bitcoin</w:t>
      </w:r>
      <w:r w:rsidR="004F34AD">
        <w:t>i protokolli väliselt on võimalik teenuse</w:t>
      </w:r>
      <w:r w:rsidR="0050712A">
        <w:t xml:space="preserve"> </w:t>
      </w:r>
      <w:r w:rsidR="004F34AD">
        <w:t>pakkujal rakendada muid seaduslikke meetmeid klientide andmete kontrollimiseks ja talletamiseks. A</w:t>
      </w:r>
      <w:r>
        <w:t>rvelduskonto ülekandega bitcoinide vahetamisteenuse ja bitcoin</w:t>
      </w:r>
      <w:r w:rsidR="004F34AD">
        <w:t>ide eest tasumise korral näeb teenusepakkuja näiteks oma internetipanga vahendusel saadud arvelduskonto väljavõttelt, millised isikud on talle ülekandeid teinud.</w:t>
      </w:r>
    </w:p>
    <w:p w14:paraId="682D9850" w14:textId="77777777" w:rsidR="00D04D01" w:rsidRDefault="00D04D01" w:rsidP="00D97015">
      <w:pPr>
        <w:jc w:val="both"/>
      </w:pPr>
    </w:p>
    <w:p w14:paraId="38391AD1" w14:textId="77777777" w:rsidR="009D1E32" w:rsidRDefault="009D1E32" w:rsidP="00D97015">
      <w:pPr>
        <w:jc w:val="both"/>
      </w:pPr>
    </w:p>
    <w:p w14:paraId="01C69108" w14:textId="77777777" w:rsidR="009D1E32" w:rsidRDefault="009D1E32" w:rsidP="00D97015">
      <w:pPr>
        <w:jc w:val="both"/>
      </w:pPr>
      <w:r w:rsidRPr="0021469F">
        <w:rPr>
          <w:b/>
        </w:rPr>
        <w:t xml:space="preserve">Küsimus nr </w:t>
      </w:r>
      <w:r w:rsidR="001D40AC" w:rsidRPr="0021469F">
        <w:rPr>
          <w:b/>
        </w:rPr>
        <w:t>7</w:t>
      </w:r>
    </w:p>
    <w:p w14:paraId="39B68FDC" w14:textId="77777777" w:rsidR="004F34AD" w:rsidRPr="009F7041" w:rsidRDefault="003E4741" w:rsidP="00D97015">
      <w:pPr>
        <w:jc w:val="both"/>
        <w:rPr>
          <w:b/>
        </w:rPr>
      </w:pPr>
      <w:r w:rsidRPr="009F7041">
        <w:rPr>
          <w:b/>
          <w:i/>
          <w:sz w:val="23"/>
          <w:szCs w:val="23"/>
        </w:rPr>
        <w:t xml:space="preserve">Kas </w:t>
      </w:r>
      <w:r w:rsidRPr="009F7041">
        <w:rPr>
          <w:b/>
          <w:i/>
          <w:iCs/>
          <w:sz w:val="23"/>
          <w:szCs w:val="23"/>
        </w:rPr>
        <w:t>bitcoin</w:t>
      </w:r>
      <w:r w:rsidRPr="009F7041">
        <w:rPr>
          <w:b/>
          <w:i/>
          <w:sz w:val="23"/>
          <w:szCs w:val="23"/>
        </w:rPr>
        <w:t xml:space="preserve">ide müügitehingule omase anonüümsuse põhimõtte vähendamist eeldava järelevalve-menetluse rakendamine oleks kooskõlas </w:t>
      </w:r>
      <w:r w:rsidRPr="009F7041">
        <w:rPr>
          <w:b/>
          <w:i/>
          <w:iCs/>
          <w:sz w:val="23"/>
          <w:szCs w:val="23"/>
        </w:rPr>
        <w:t>bitcoin</w:t>
      </w:r>
      <w:r w:rsidRPr="009F7041">
        <w:rPr>
          <w:b/>
          <w:i/>
          <w:sz w:val="23"/>
          <w:szCs w:val="23"/>
        </w:rPr>
        <w:t>ide protokolli ja reeglitega?</w:t>
      </w:r>
    </w:p>
    <w:p w14:paraId="2BB9CE5B" w14:textId="77777777" w:rsidR="004F34AD" w:rsidRDefault="004F34AD" w:rsidP="00D97015">
      <w:pPr>
        <w:jc w:val="both"/>
      </w:pPr>
    </w:p>
    <w:p w14:paraId="122E44F7" w14:textId="77777777" w:rsidR="009D1E32" w:rsidRPr="0021469F" w:rsidRDefault="009D1E32" w:rsidP="00D97015">
      <w:pPr>
        <w:jc w:val="both"/>
        <w:rPr>
          <w:b/>
        </w:rPr>
      </w:pPr>
      <w:r w:rsidRPr="009D1E32">
        <w:rPr>
          <w:b/>
        </w:rPr>
        <w:t>Finantsinspektsiooni vastus</w:t>
      </w:r>
    </w:p>
    <w:p w14:paraId="14186B49" w14:textId="77777777" w:rsidR="009D1E32" w:rsidRDefault="009D1E32" w:rsidP="00D97015">
      <w:pPr>
        <w:jc w:val="both"/>
      </w:pPr>
    </w:p>
    <w:p w14:paraId="07D881CD" w14:textId="5809DDF0" w:rsidR="003B4AF7" w:rsidRDefault="003B4AF7" w:rsidP="00455789">
      <w:pPr>
        <w:ind w:left="284"/>
        <w:jc w:val="both"/>
      </w:pPr>
      <w:r>
        <w:t>Bitcoin on teatud reguleerimata maksevahend, mida ei emiteeri ega garanteeri keskpank ja mida saab kasutada maksevahendina.</w:t>
      </w:r>
      <w:r>
        <w:rPr>
          <w:rStyle w:val="FootnoteReference"/>
        </w:rPr>
        <w:footnoteReference w:id="15"/>
      </w:r>
      <w:r>
        <w:t xml:space="preserve"> Bitcoin kätkeb endas rahapesu </w:t>
      </w:r>
      <w:r w:rsidR="0009118E">
        <w:t xml:space="preserve">ja </w:t>
      </w:r>
      <w:r>
        <w:t>terrorismi rahastamist võimaldavaid riske ning peamiselt sellise</w:t>
      </w:r>
      <w:r w:rsidR="0009118E">
        <w:t>l</w:t>
      </w:r>
      <w:r>
        <w:t xml:space="preserve"> põhjusel o</w:t>
      </w:r>
      <w:r w:rsidR="002B1F9A">
        <w:t>n</w:t>
      </w:r>
      <w:r>
        <w:t xml:space="preserve"> Eestis peetud vajalikuks</w:t>
      </w:r>
      <w:r w:rsidR="002B1F9A">
        <w:t xml:space="preserve"> allutada alternatiivsete maksevahendite teenuse pakkujad</w:t>
      </w:r>
      <w:r w:rsidR="00FD3968">
        <w:t>, sh bitcoin,</w:t>
      </w:r>
      <w:r w:rsidR="002B1F9A">
        <w:t xml:space="preserve"> RAB-i järelevalvele. RAB on juba 2013. aastal oma aastaraamatus selgitanud, et RahaPTS § 6 lõike 4 mõistes on bitcoinide ostul, müügil, vahendamisel alternatiivsete maksevahendite teenuse pakkumise tunnused. RahaPTS § 52 kohaselt peab alternatiivsete maksevahendite teenuse pakkuja ennast majandustegevuse registris registreerima. Samuti peab alternatiivsete maksevahendite teenuse pakkuja täitma RahaPTS-ist tulenevaid kohustusi (hoolsusmeetmed, teatamiskohustus jm), eeskätt RahaPTS § 15 lõikes 8 sätestatut silmas pidades.</w:t>
      </w:r>
      <w:r w:rsidR="002B1F9A">
        <w:rPr>
          <w:rStyle w:val="FootnoteReference"/>
        </w:rPr>
        <w:footnoteReference w:id="16"/>
      </w:r>
      <w:r>
        <w:t xml:space="preserve"> </w:t>
      </w:r>
    </w:p>
    <w:p w14:paraId="17F84461" w14:textId="77777777" w:rsidR="003B4AF7" w:rsidRDefault="003B4AF7" w:rsidP="00455789">
      <w:pPr>
        <w:ind w:left="284"/>
        <w:jc w:val="both"/>
      </w:pPr>
    </w:p>
    <w:p w14:paraId="2A640BD7" w14:textId="77777777" w:rsidR="009F7041" w:rsidRDefault="009F7041" w:rsidP="00455789">
      <w:pPr>
        <w:ind w:left="284"/>
        <w:jc w:val="both"/>
      </w:pPr>
      <w:r>
        <w:t xml:space="preserve">Arvestades, et võimalikke uusi alternatiivseid maksevahendeid tekib </w:t>
      </w:r>
      <w:r w:rsidR="00B2502D">
        <w:t xml:space="preserve">üsna kiiresti </w:t>
      </w:r>
      <w:r>
        <w:t>juurde, on seadusandja hõlmanud</w:t>
      </w:r>
      <w:r w:rsidR="00893658">
        <w:t xml:space="preserve"> juba ettenähtavalt alternatiivsete maksevahenditega kõikvõimalikud </w:t>
      </w:r>
      <w:r w:rsidR="00893658">
        <w:lastRenderedPageBreak/>
        <w:t>viisid, mis ei ole käsitletavad traditsiooniliste makseviisidena.</w:t>
      </w:r>
      <w:r w:rsidR="0009118E">
        <w:rPr>
          <w:rStyle w:val="FootnoteReference"/>
        </w:rPr>
        <w:footnoteReference w:id="17"/>
      </w:r>
      <w:r w:rsidR="00893658">
        <w:t xml:space="preserve"> Sellest tulenevalt peab järelevalvet teostav isik hindama alternatiivse maksevahendiga seonduva tegevuse vastavust seadusele, mitte vastupidi. </w:t>
      </w:r>
      <w:r>
        <w:t xml:space="preserve"> </w:t>
      </w:r>
    </w:p>
    <w:p w14:paraId="5B26FF56" w14:textId="77777777" w:rsidR="004F34AD" w:rsidRDefault="004F34AD" w:rsidP="00D97015">
      <w:pPr>
        <w:jc w:val="both"/>
      </w:pPr>
    </w:p>
    <w:p w14:paraId="021E63FB" w14:textId="77777777" w:rsidR="009D1E32" w:rsidRDefault="009D1E32" w:rsidP="00D97015">
      <w:pPr>
        <w:jc w:val="both"/>
      </w:pPr>
    </w:p>
    <w:p w14:paraId="62EE5093" w14:textId="77777777" w:rsidR="009D1E32" w:rsidRDefault="009D1E32" w:rsidP="00D97015">
      <w:pPr>
        <w:jc w:val="both"/>
        <w:rPr>
          <w:b/>
        </w:rPr>
      </w:pPr>
      <w:r>
        <w:rPr>
          <w:b/>
        </w:rPr>
        <w:t xml:space="preserve">Küsimus nr </w:t>
      </w:r>
      <w:r w:rsidR="004F34AD" w:rsidRPr="009F7041">
        <w:rPr>
          <w:b/>
        </w:rPr>
        <w:t>8</w:t>
      </w:r>
    </w:p>
    <w:p w14:paraId="6B9600AD" w14:textId="77777777" w:rsidR="004F34AD" w:rsidRPr="009F7041" w:rsidRDefault="003E4741" w:rsidP="00D97015">
      <w:pPr>
        <w:jc w:val="both"/>
        <w:rPr>
          <w:b/>
        </w:rPr>
      </w:pPr>
      <w:r w:rsidRPr="009F7041">
        <w:rPr>
          <w:b/>
          <w:i/>
          <w:sz w:val="23"/>
          <w:szCs w:val="23"/>
        </w:rPr>
        <w:t xml:space="preserve">Kui RahaPTS-s finantseerimisasutusele ettenähtud hoolsusmeetmed kohalduvad </w:t>
      </w:r>
      <w:r w:rsidRPr="009F7041">
        <w:rPr>
          <w:b/>
          <w:i/>
          <w:iCs/>
          <w:sz w:val="23"/>
          <w:szCs w:val="23"/>
        </w:rPr>
        <w:t>bitcoin</w:t>
      </w:r>
      <w:r w:rsidRPr="009F7041">
        <w:rPr>
          <w:b/>
          <w:i/>
          <w:sz w:val="23"/>
          <w:szCs w:val="23"/>
        </w:rPr>
        <w:t xml:space="preserve">ide vahetamisteenuse pakkujale ja eeldusel, et nende täitmine ei ole </w:t>
      </w:r>
      <w:r w:rsidRPr="009F7041">
        <w:rPr>
          <w:b/>
          <w:i/>
          <w:iCs/>
          <w:sz w:val="23"/>
          <w:szCs w:val="23"/>
        </w:rPr>
        <w:t>bitcoin</w:t>
      </w:r>
      <w:r w:rsidRPr="009F7041">
        <w:rPr>
          <w:b/>
          <w:i/>
          <w:sz w:val="23"/>
          <w:szCs w:val="23"/>
        </w:rPr>
        <w:t>idega müügitehingute olemusest tulenevalt seaduses ettenähtud ulatuses võimalik, siis kas ettekirjutusega sellises ulatuses andmete nõudmine on proportsionaalne?</w:t>
      </w:r>
    </w:p>
    <w:p w14:paraId="74A4E58E" w14:textId="77777777" w:rsidR="004F34AD" w:rsidRDefault="004F34AD" w:rsidP="00D97015">
      <w:pPr>
        <w:jc w:val="both"/>
      </w:pPr>
    </w:p>
    <w:p w14:paraId="75076A66" w14:textId="77777777" w:rsidR="009D1E32" w:rsidRPr="0021469F" w:rsidRDefault="009D1E32" w:rsidP="00D97015">
      <w:pPr>
        <w:jc w:val="both"/>
        <w:rPr>
          <w:b/>
        </w:rPr>
      </w:pPr>
      <w:r w:rsidRPr="009D1E32">
        <w:rPr>
          <w:b/>
        </w:rPr>
        <w:t>Finantsinspektsiooni vastus</w:t>
      </w:r>
    </w:p>
    <w:p w14:paraId="3889C7F6" w14:textId="77777777" w:rsidR="0050712A" w:rsidRDefault="0050712A" w:rsidP="0050712A">
      <w:pPr>
        <w:jc w:val="both"/>
      </w:pPr>
    </w:p>
    <w:p w14:paraId="18C8FA6B" w14:textId="5943FC87" w:rsidR="0050712A" w:rsidRDefault="0050712A" w:rsidP="00455789">
      <w:pPr>
        <w:ind w:left="284"/>
        <w:jc w:val="both"/>
      </w:pPr>
      <w:r>
        <w:t>RahaPTS §</w:t>
      </w:r>
      <w:r w:rsidR="007F118F">
        <w:t>-st</w:t>
      </w:r>
      <w:r>
        <w:t xml:space="preserve"> 1 tulenevalt on seaduse eesmärgiks tõkestada Eesti Vabariigi rahandussüsteemi ning majandusruumi kasutamist rahapesuks ja terrorismi rahastamiseks. Olulised õigused on antud just RAB-ile, kes on RahaPTS</w:t>
      </w:r>
      <w:r w:rsidR="00132356">
        <w:t>-i</w:t>
      </w:r>
      <w:r>
        <w:t xml:space="preserve"> mõttes riiklik järelevalveasutus (RahaPTS § 47 lg 1). Teatavad õigused ja kohustused on ka teistel RahaPTS-i mõttes järelevalveasutustel nagu Finantsinspektsioon, Justiitsministeerium, Eesti Advokatuuri juhatus, Notarite Koda. Tegemist on olulise tähelepanu all oleva valdkonnaga ning </w:t>
      </w:r>
      <w:r w:rsidR="000570DE">
        <w:t xml:space="preserve">olenevalt asjaoludest on õigustatud ja ka proportsionaalne </w:t>
      </w:r>
      <w:r>
        <w:t>küsimus</w:t>
      </w:r>
      <w:r w:rsidR="000570DE">
        <w:t>t</w:t>
      </w:r>
      <w:r>
        <w:t xml:space="preserve">e </w:t>
      </w:r>
      <w:r w:rsidR="000570DE">
        <w:t xml:space="preserve">esitamine </w:t>
      </w:r>
      <w:r>
        <w:t xml:space="preserve">isikule, kui on tekkinud kahtlused tema tegevuse vastavuses õigusaktidega. </w:t>
      </w:r>
      <w:r w:rsidR="000570DE">
        <w:t>Täpsem proportsionaalsuse määratlemine sõltub ka asja kõigi tehiolude hindamisest, millised antud asjas meile on teadmata.</w:t>
      </w:r>
      <w:r>
        <w:t xml:space="preserve"> </w:t>
      </w:r>
    </w:p>
    <w:p w14:paraId="713B8A5F" w14:textId="77777777" w:rsidR="004F34AD" w:rsidRDefault="004F34AD" w:rsidP="00D97015">
      <w:pPr>
        <w:jc w:val="both"/>
      </w:pPr>
    </w:p>
    <w:p w14:paraId="143864DC" w14:textId="77777777" w:rsidR="0050712A" w:rsidRDefault="0050712A" w:rsidP="00D97015">
      <w:pPr>
        <w:jc w:val="both"/>
      </w:pPr>
    </w:p>
    <w:p w14:paraId="5282199F" w14:textId="77777777" w:rsidR="0050712A" w:rsidRDefault="0050712A" w:rsidP="00D97015">
      <w:pPr>
        <w:jc w:val="both"/>
      </w:pPr>
    </w:p>
    <w:p w14:paraId="641DD076" w14:textId="77777777" w:rsidR="004F34AD" w:rsidRDefault="0050712A" w:rsidP="00D97015">
      <w:pPr>
        <w:jc w:val="both"/>
      </w:pPr>
      <w:r>
        <w:t>Lugupidamisega</w:t>
      </w:r>
    </w:p>
    <w:p w14:paraId="66D327B1" w14:textId="77777777" w:rsidR="0050712A" w:rsidRDefault="0050712A" w:rsidP="00D97015">
      <w:pPr>
        <w:jc w:val="both"/>
      </w:pPr>
    </w:p>
    <w:p w14:paraId="4DA68F8F" w14:textId="77777777" w:rsidR="0050712A" w:rsidRDefault="0050712A" w:rsidP="00D97015">
      <w:pPr>
        <w:jc w:val="both"/>
      </w:pPr>
    </w:p>
    <w:p w14:paraId="74C2A0CF" w14:textId="663D39FF" w:rsidR="004F34AD" w:rsidRDefault="0050712A" w:rsidP="00D97015">
      <w:pPr>
        <w:jc w:val="both"/>
      </w:pPr>
      <w:r w:rsidRPr="0050712A">
        <w:rPr>
          <w:i/>
        </w:rPr>
        <w:t>/allkirjastatud digitaalselt/</w:t>
      </w:r>
      <w:r w:rsidR="00B2502D">
        <w:rPr>
          <w:i/>
        </w:rPr>
        <w:tab/>
      </w:r>
      <w:r w:rsidR="00B2502D">
        <w:rPr>
          <w:i/>
        </w:rPr>
        <w:tab/>
      </w:r>
      <w:r w:rsidR="00B2502D">
        <w:rPr>
          <w:i/>
        </w:rPr>
        <w:tab/>
      </w:r>
      <w:r w:rsidR="00B2502D">
        <w:rPr>
          <w:i/>
        </w:rPr>
        <w:tab/>
      </w:r>
      <w:r w:rsidR="0054644F">
        <w:rPr>
          <w:i/>
        </w:rPr>
        <w:tab/>
      </w:r>
      <w:r w:rsidR="0054644F">
        <w:rPr>
          <w:i/>
        </w:rPr>
        <w:tab/>
      </w:r>
      <w:r w:rsidR="0054644F" w:rsidRPr="0054644F">
        <w:rPr>
          <w:i/>
        </w:rPr>
        <w:t>/allkirjastatud digitaalselt/</w:t>
      </w:r>
      <w:r w:rsidR="0054644F" w:rsidRPr="0054644F">
        <w:rPr>
          <w:i/>
        </w:rPr>
        <w:tab/>
      </w:r>
      <w:r w:rsidR="00B2502D">
        <w:rPr>
          <w:i/>
        </w:rPr>
        <w:tab/>
      </w:r>
      <w:r w:rsidR="00B2502D">
        <w:rPr>
          <w:i/>
        </w:rPr>
        <w:tab/>
      </w:r>
    </w:p>
    <w:p w14:paraId="69A027DF" w14:textId="55DFA387" w:rsidR="00D04D01" w:rsidRDefault="0054644F" w:rsidP="00D97015">
      <w:pPr>
        <w:jc w:val="both"/>
      </w:pPr>
      <w:r>
        <w:t>Kilvar Kessler</w:t>
      </w:r>
      <w:r>
        <w:tab/>
      </w:r>
      <w:r>
        <w:tab/>
      </w:r>
      <w:r>
        <w:tab/>
      </w:r>
      <w:r>
        <w:tab/>
      </w:r>
      <w:r>
        <w:tab/>
      </w:r>
      <w:r>
        <w:tab/>
      </w:r>
      <w:r>
        <w:tab/>
      </w:r>
      <w:r>
        <w:tab/>
        <w:t>Siim Tammer</w:t>
      </w:r>
    </w:p>
    <w:p w14:paraId="40268DD3" w14:textId="3FED7A54" w:rsidR="00E55662" w:rsidRDefault="0054644F" w:rsidP="00D97015">
      <w:pPr>
        <w:jc w:val="both"/>
      </w:pPr>
      <w:r>
        <w:t>Juhatuse esimees</w:t>
      </w:r>
      <w:r>
        <w:tab/>
      </w:r>
      <w:r>
        <w:tab/>
      </w:r>
      <w:r>
        <w:tab/>
      </w:r>
      <w:r>
        <w:tab/>
      </w:r>
      <w:r>
        <w:tab/>
      </w:r>
      <w:r>
        <w:tab/>
      </w:r>
      <w:r>
        <w:tab/>
        <w:t>Finantsinspektsiooni esindaja</w:t>
      </w:r>
    </w:p>
    <w:sectPr w:rsidR="00E55662" w:rsidSect="00443B39">
      <w:headerReference w:type="even" r:id="rId11"/>
      <w:headerReference w:type="default" r:id="rId12"/>
      <w:footerReference w:type="default" r:id="rId13"/>
      <w:headerReference w:type="first" r:id="rId14"/>
      <w:footerReference w:type="first" r:id="rId15"/>
      <w:pgSz w:w="11906" w:h="16838" w:code="9"/>
      <w:pgMar w:top="1440" w:right="851" w:bottom="1134" w:left="1701" w:header="454"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E576" w14:textId="77777777" w:rsidR="00D36A09" w:rsidRDefault="00D36A09">
      <w:r>
        <w:separator/>
      </w:r>
    </w:p>
  </w:endnote>
  <w:endnote w:type="continuationSeparator" w:id="0">
    <w:p w14:paraId="301188D4" w14:textId="77777777" w:rsidR="00D36A09" w:rsidRDefault="00D3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7473" w14:textId="77777777" w:rsidR="00674C6A" w:rsidRDefault="005134D7">
    <w:pPr>
      <w:pStyle w:val="Footer"/>
    </w:pPr>
    <w:r>
      <w:rPr>
        <w:noProof/>
      </w:rPr>
      <w:drawing>
        <wp:anchor distT="0" distB="0" distL="114300" distR="114300" simplePos="0" relativeHeight="251658240" behindDoc="1" locked="0" layoutInCell="1" allowOverlap="1" wp14:anchorId="44D2B4DA" wp14:editId="6270D960">
          <wp:simplePos x="0" y="0"/>
          <wp:positionH relativeFrom="column">
            <wp:posOffset>2262505</wp:posOffset>
          </wp:positionH>
          <wp:positionV relativeFrom="page">
            <wp:posOffset>6362065</wp:posOffset>
          </wp:positionV>
          <wp:extent cx="4210050" cy="4314825"/>
          <wp:effectExtent l="0" t="0" r="0" b="9525"/>
          <wp:wrapNone/>
          <wp:docPr id="3" name="Picture 2" descr="fi_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_foo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65AD" w14:textId="77777777" w:rsidR="00443B39" w:rsidRPr="00443B39" w:rsidRDefault="00443B39" w:rsidP="00443B39">
    <w:pPr>
      <w:pStyle w:val="Footer"/>
      <w:jc w:val="center"/>
      <w:rPr>
        <w:rFonts w:ascii="Trebuchet MS" w:hAnsi="Trebuchet MS"/>
        <w:color w:val="808080"/>
        <w:sz w:val="18"/>
        <w:szCs w:val="18"/>
      </w:rPr>
    </w:pPr>
    <w:r w:rsidRPr="00443B39">
      <w:rPr>
        <w:rFonts w:ascii="Trebuchet MS" w:hAnsi="Trebuchet MS"/>
        <w:color w:val="808080"/>
        <w:sz w:val="18"/>
        <w:szCs w:val="18"/>
      </w:rPr>
      <w:t xml:space="preserve">Sakala 4, 15030 TALLINN, Tel: 668 0500, Faks: 668 0501, E-post: </w:t>
    </w:r>
    <w:smartTag w:uri="urn:schemas-microsoft-com:office:smarttags" w:element="PersonName">
      <w:r w:rsidRPr="00443B39">
        <w:rPr>
          <w:rFonts w:ascii="Trebuchet MS" w:hAnsi="Trebuchet MS"/>
          <w:color w:val="808080"/>
          <w:sz w:val="18"/>
          <w:szCs w:val="18"/>
        </w:rPr>
        <w:t>info@fi.ee</w:t>
      </w:r>
    </w:smartTag>
    <w:r w:rsidRPr="00443B39">
      <w:rPr>
        <w:rFonts w:ascii="Trebuchet MS" w:hAnsi="Trebuchet MS"/>
        <w:color w:val="808080"/>
        <w:sz w:val="18"/>
        <w:szCs w:val="18"/>
      </w:rPr>
      <w:t>, www.fi.ee, registrikood 74000174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87FB" w14:textId="77777777" w:rsidR="00D36A09" w:rsidRDefault="00D36A09">
      <w:r>
        <w:separator/>
      </w:r>
    </w:p>
  </w:footnote>
  <w:footnote w:type="continuationSeparator" w:id="0">
    <w:p w14:paraId="2A6BD0A2" w14:textId="77777777" w:rsidR="00D36A09" w:rsidRDefault="00D36A09">
      <w:r>
        <w:continuationSeparator/>
      </w:r>
    </w:p>
  </w:footnote>
  <w:footnote w:id="1">
    <w:p w14:paraId="7106C52C" w14:textId="77777777" w:rsidR="00C16AD9" w:rsidRPr="00C84154" w:rsidRDefault="00C16AD9" w:rsidP="00C84154">
      <w:pPr>
        <w:pStyle w:val="FootnoteText"/>
        <w:jc w:val="both"/>
        <w:rPr>
          <w:rFonts w:ascii="Times New Roman" w:hAnsi="Times New Roman"/>
          <w:lang w:val="et-EE"/>
        </w:rPr>
      </w:pPr>
      <w:r w:rsidRPr="00C84154">
        <w:rPr>
          <w:rStyle w:val="FootnoteReference"/>
          <w:rFonts w:ascii="Times New Roman" w:hAnsi="Times New Roman"/>
        </w:rPr>
        <w:footnoteRef/>
      </w:r>
      <w:r w:rsidRPr="00C84154">
        <w:rPr>
          <w:rFonts w:ascii="Times New Roman" w:hAnsi="Times New Roman"/>
        </w:rPr>
        <w:t xml:space="preserve"> </w:t>
      </w:r>
      <w:r w:rsidRPr="00C84154">
        <w:rPr>
          <w:rFonts w:ascii="Times New Roman" w:hAnsi="Times New Roman"/>
          <w:lang w:val="et-EE"/>
        </w:rPr>
        <w:t xml:space="preserve">Rahapesu ja terrorismi rahastamise tõkestamise seaduse eelnõu seletuskiri 137 SE, Riigikogu XI koosseis – Kättesaadav: </w:t>
      </w:r>
      <w:hyperlink r:id="rId1" w:history="1">
        <w:r w:rsidRPr="00C84154">
          <w:rPr>
            <w:rStyle w:val="Hyperlink"/>
            <w:rFonts w:ascii="Times New Roman" w:hAnsi="Times New Roman"/>
            <w:lang w:val="et-EE"/>
          </w:rPr>
          <w:t>http://www.riigikogu.ee/?op=emsplain&amp;page=pub_file&amp;file_id=3deaea53-afec-eb79-6338-b2fdbd288e24&amp;</w:t>
        </w:r>
      </w:hyperlink>
      <w:r w:rsidRPr="00C84154">
        <w:rPr>
          <w:rFonts w:ascii="Times New Roman" w:hAnsi="Times New Roman"/>
          <w:lang w:val="et-EE"/>
        </w:rPr>
        <w:t xml:space="preserve"> (07.01.2016), lk 13.</w:t>
      </w:r>
    </w:p>
  </w:footnote>
  <w:footnote w:id="2">
    <w:p w14:paraId="56B26049" w14:textId="1D21570C" w:rsidR="00FE632F" w:rsidRPr="00C84154" w:rsidRDefault="00FE632F" w:rsidP="00C84154">
      <w:pPr>
        <w:pStyle w:val="FootnoteText"/>
        <w:jc w:val="both"/>
        <w:rPr>
          <w:rFonts w:ascii="Times New Roman" w:hAnsi="Times New Roman"/>
          <w:lang w:val="et-EE"/>
        </w:rPr>
      </w:pPr>
      <w:r w:rsidRPr="00C84154">
        <w:rPr>
          <w:rStyle w:val="FootnoteReference"/>
          <w:rFonts w:ascii="Times New Roman" w:hAnsi="Times New Roman"/>
        </w:rPr>
        <w:footnoteRef/>
      </w:r>
      <w:r w:rsidRPr="00C84154">
        <w:rPr>
          <w:rFonts w:ascii="Times New Roman" w:hAnsi="Times New Roman"/>
        </w:rPr>
        <w:t xml:space="preserve"> </w:t>
      </w:r>
      <w:r w:rsidRPr="00C84154">
        <w:rPr>
          <w:rFonts w:ascii="Times New Roman" w:hAnsi="Times New Roman"/>
          <w:lang w:val="et-EE"/>
        </w:rPr>
        <w:t xml:space="preserve">Euroopa Kohtu 22. oktoobri 2015. aasta otsus C-264/14: Virtuaalsel valuutal bitcoin ei ole muud mõtet, kui olla kasutatav maksevahendina, ning et osa ettevõtjaid aktsepteerivad seda antud eesmärgil (punkt 52). Bitcoin kuulub „kahesuunalise vooga“ virtuaalsete valuutade süsteemi, mille puhul kasutajad saavad virtuaalset valuutat osta ja müüa valuuta vahetuskursi alusel. Sellise virtuaalse valuuta toimimine reaalses maailmas sarnaneb teiste konverteeritavate valuutadega, mis võimaldab osta nii reaalseid kui ka virtuaalseid kaupu ja teenuseid (punkt 12).   </w:t>
      </w:r>
    </w:p>
  </w:footnote>
  <w:footnote w:id="3">
    <w:p w14:paraId="1E01927C" w14:textId="77777777" w:rsidR="00C90BE0" w:rsidRPr="00C16AD9" w:rsidRDefault="00C90BE0" w:rsidP="00C84154">
      <w:pPr>
        <w:pStyle w:val="FootnoteText"/>
        <w:jc w:val="both"/>
        <w:rPr>
          <w:rFonts w:ascii="Times New Roman" w:hAnsi="Times New Roman"/>
          <w:sz w:val="22"/>
          <w:szCs w:val="22"/>
          <w:lang w:val="et-EE"/>
        </w:rPr>
      </w:pPr>
      <w:r w:rsidRPr="00C84154">
        <w:rPr>
          <w:rStyle w:val="FootnoteReference"/>
          <w:rFonts w:ascii="Times New Roman" w:hAnsi="Times New Roman"/>
        </w:rPr>
        <w:footnoteRef/>
      </w:r>
      <w:r w:rsidRPr="00C84154">
        <w:rPr>
          <w:rFonts w:ascii="Times New Roman" w:hAnsi="Times New Roman"/>
        </w:rPr>
        <w:t xml:space="preserve"> </w:t>
      </w:r>
      <w:hyperlink r:id="rId2" w:history="1">
        <w:r w:rsidRPr="00C84154">
          <w:rPr>
            <w:rStyle w:val="Hyperlink"/>
            <w:rFonts w:ascii="Times New Roman" w:hAnsi="Times New Roman"/>
            <w:lang w:val="et-EE"/>
          </w:rPr>
          <w:t>http://www.fatf-gafi.org/</w:t>
        </w:r>
      </w:hyperlink>
      <w:r w:rsidRPr="00C16AD9">
        <w:rPr>
          <w:rFonts w:ascii="Times New Roman" w:hAnsi="Times New Roman"/>
          <w:sz w:val="22"/>
          <w:szCs w:val="22"/>
          <w:lang w:val="et-EE"/>
        </w:rPr>
        <w:t xml:space="preserve"> </w:t>
      </w:r>
    </w:p>
  </w:footnote>
  <w:footnote w:id="4">
    <w:p w14:paraId="3D5D4FD3" w14:textId="77777777" w:rsidR="004F34AD" w:rsidRPr="00C84154" w:rsidRDefault="004F34AD" w:rsidP="00C84154">
      <w:pPr>
        <w:pStyle w:val="FootnoteText"/>
        <w:jc w:val="both"/>
        <w:rPr>
          <w:rFonts w:ascii="Times New Roman" w:hAnsi="Times New Roman"/>
          <w:lang w:val="et-EE"/>
        </w:rPr>
      </w:pPr>
      <w:r w:rsidRPr="00C84154">
        <w:rPr>
          <w:rStyle w:val="FootnoteReference"/>
          <w:rFonts w:ascii="Times New Roman" w:hAnsi="Times New Roman"/>
        </w:rPr>
        <w:footnoteRef/>
      </w:r>
      <w:r w:rsidRPr="00C84154">
        <w:rPr>
          <w:rFonts w:ascii="Times New Roman" w:hAnsi="Times New Roman"/>
        </w:rPr>
        <w:t xml:space="preserve"> FATF Report: Virtual Currencies – Key Definiti</w:t>
      </w:r>
      <w:r w:rsidR="0098348D" w:rsidRPr="00C84154">
        <w:rPr>
          <w:rFonts w:ascii="Times New Roman" w:hAnsi="Times New Roman"/>
        </w:rPr>
        <w:t>ons and Potential AML/CFT Risks</w:t>
      </w:r>
      <w:r w:rsidRPr="00C84154">
        <w:rPr>
          <w:rFonts w:ascii="Times New Roman" w:hAnsi="Times New Roman"/>
        </w:rPr>
        <w:t xml:space="preserve">. </w:t>
      </w:r>
      <w:r w:rsidR="0098348D" w:rsidRPr="00C84154">
        <w:rPr>
          <w:rFonts w:ascii="Times New Roman" w:hAnsi="Times New Roman"/>
        </w:rPr>
        <w:t xml:space="preserve">– </w:t>
      </w:r>
      <w:r w:rsidRPr="00C84154">
        <w:rPr>
          <w:rFonts w:ascii="Times New Roman" w:hAnsi="Times New Roman"/>
        </w:rPr>
        <w:t>Juuni</w:t>
      </w:r>
      <w:r w:rsidR="0098348D" w:rsidRPr="00C84154">
        <w:rPr>
          <w:rFonts w:ascii="Times New Roman" w:hAnsi="Times New Roman"/>
        </w:rPr>
        <w:t xml:space="preserve"> </w:t>
      </w:r>
      <w:r w:rsidRPr="00C84154">
        <w:rPr>
          <w:rFonts w:ascii="Times New Roman" w:hAnsi="Times New Roman"/>
        </w:rPr>
        <w:t>2014</w:t>
      </w:r>
      <w:r w:rsidR="0098348D" w:rsidRPr="00C84154">
        <w:rPr>
          <w:rFonts w:ascii="Times New Roman" w:hAnsi="Times New Roman"/>
        </w:rPr>
        <w:t>,</w:t>
      </w:r>
      <w:r w:rsidRPr="00C84154">
        <w:rPr>
          <w:rFonts w:ascii="Times New Roman" w:hAnsi="Times New Roman"/>
        </w:rPr>
        <w:t xml:space="preserve"> </w:t>
      </w:r>
      <w:r w:rsidR="0098348D" w:rsidRPr="00C84154">
        <w:rPr>
          <w:rFonts w:ascii="Times New Roman" w:hAnsi="Times New Roman"/>
        </w:rPr>
        <w:t>Kättesaadav</w:t>
      </w:r>
      <w:r w:rsidRPr="00C84154">
        <w:rPr>
          <w:rFonts w:ascii="Times New Roman" w:hAnsi="Times New Roman"/>
        </w:rPr>
        <w:t xml:space="preserve">: </w:t>
      </w:r>
      <w:hyperlink r:id="rId3" w:history="1">
        <w:r w:rsidRPr="00C84154">
          <w:rPr>
            <w:rStyle w:val="Hyperlink"/>
            <w:rFonts w:ascii="Times New Roman" w:hAnsi="Times New Roman"/>
          </w:rPr>
          <w:t>http://www.fatf-gafi.org/media/fatf/documents/reports/Virtual-currency-key-definitions-and-potential-aml-cft-risks.pdf</w:t>
        </w:r>
      </w:hyperlink>
      <w:r w:rsidRPr="00C84154">
        <w:rPr>
          <w:rFonts w:ascii="Times New Roman" w:hAnsi="Times New Roman"/>
        </w:rPr>
        <w:t xml:space="preserve"> (07.01.2016)</w:t>
      </w:r>
      <w:r w:rsidR="0098348D" w:rsidRPr="00C84154">
        <w:rPr>
          <w:rFonts w:ascii="Times New Roman" w:hAnsi="Times New Roman"/>
        </w:rPr>
        <w:t>.</w:t>
      </w:r>
    </w:p>
  </w:footnote>
  <w:footnote w:id="5">
    <w:p w14:paraId="307FF30A" w14:textId="77777777" w:rsidR="00C84154" w:rsidRDefault="004F34AD" w:rsidP="00C84154">
      <w:pPr>
        <w:pStyle w:val="FootnoteText"/>
        <w:jc w:val="both"/>
        <w:rPr>
          <w:rFonts w:ascii="Times New Roman" w:hAnsi="Times New Roman"/>
          <w:lang w:val="et-EE"/>
        </w:rPr>
      </w:pPr>
      <w:r w:rsidRPr="00C84154">
        <w:rPr>
          <w:rStyle w:val="FootnoteReference"/>
          <w:rFonts w:ascii="Times New Roman" w:hAnsi="Times New Roman"/>
        </w:rPr>
        <w:footnoteRef/>
      </w:r>
      <w:r w:rsidRPr="00C84154">
        <w:rPr>
          <w:rFonts w:ascii="Times New Roman" w:hAnsi="Times New Roman"/>
        </w:rPr>
        <w:t xml:space="preserve"> </w:t>
      </w:r>
      <w:r w:rsidRPr="00C84154">
        <w:rPr>
          <w:rFonts w:ascii="Times New Roman" w:hAnsi="Times New Roman"/>
          <w:lang w:val="et-EE"/>
        </w:rPr>
        <w:t>Virtual currency schemes – a further analysis.</w:t>
      </w:r>
      <w:r w:rsidR="007A5218" w:rsidRPr="00C84154">
        <w:rPr>
          <w:rFonts w:ascii="Times New Roman" w:hAnsi="Times New Roman"/>
          <w:lang w:val="et-EE"/>
        </w:rPr>
        <w:t xml:space="preserve"> – </w:t>
      </w:r>
      <w:r w:rsidRPr="00C84154">
        <w:rPr>
          <w:rFonts w:ascii="Times New Roman" w:hAnsi="Times New Roman"/>
          <w:lang w:val="et-EE"/>
        </w:rPr>
        <w:t>Veebrua</w:t>
      </w:r>
      <w:r w:rsidR="007A5218" w:rsidRPr="00C84154">
        <w:rPr>
          <w:rFonts w:ascii="Times New Roman" w:hAnsi="Times New Roman"/>
          <w:lang w:val="et-EE"/>
        </w:rPr>
        <w:t>r 2015,</w:t>
      </w:r>
      <w:r w:rsidRPr="00C84154">
        <w:rPr>
          <w:rFonts w:ascii="Times New Roman" w:hAnsi="Times New Roman"/>
          <w:lang w:val="et-EE"/>
        </w:rPr>
        <w:t xml:space="preserve"> </w:t>
      </w:r>
      <w:r w:rsidR="007A5218" w:rsidRPr="00C84154">
        <w:rPr>
          <w:rFonts w:ascii="Times New Roman" w:hAnsi="Times New Roman"/>
          <w:lang w:val="et-EE"/>
        </w:rPr>
        <w:t>Kättesaadav</w:t>
      </w:r>
      <w:r w:rsidRPr="00C84154">
        <w:rPr>
          <w:rFonts w:ascii="Times New Roman" w:hAnsi="Times New Roman"/>
          <w:lang w:val="et-EE"/>
        </w:rPr>
        <w:t>:</w:t>
      </w:r>
    </w:p>
    <w:p w14:paraId="3FCC3502" w14:textId="379B8AD2" w:rsidR="004F34AD" w:rsidRPr="00C84154" w:rsidRDefault="004F34AD" w:rsidP="00C84154">
      <w:pPr>
        <w:pStyle w:val="FootnoteText"/>
        <w:jc w:val="both"/>
        <w:rPr>
          <w:rFonts w:ascii="Times New Roman" w:hAnsi="Times New Roman"/>
          <w:lang w:val="et-EE"/>
        </w:rPr>
      </w:pPr>
      <w:r w:rsidRPr="00C84154">
        <w:rPr>
          <w:rFonts w:ascii="Times New Roman" w:hAnsi="Times New Roman"/>
          <w:lang w:val="et-EE"/>
        </w:rPr>
        <w:t xml:space="preserve"> </w:t>
      </w:r>
      <w:hyperlink r:id="rId4" w:history="1">
        <w:r w:rsidRPr="00C84154">
          <w:rPr>
            <w:rStyle w:val="Hyperlink"/>
            <w:rFonts w:ascii="Times New Roman" w:hAnsi="Times New Roman"/>
            <w:lang w:val="et-EE"/>
          </w:rPr>
          <w:t>https://www.ecb.europa.eu/pub/pdf/other/virtualcurrencyschemesen.pdf</w:t>
        </w:r>
      </w:hyperlink>
      <w:r w:rsidRPr="00C84154">
        <w:rPr>
          <w:rFonts w:ascii="Times New Roman" w:hAnsi="Times New Roman"/>
          <w:lang w:val="et-EE"/>
        </w:rPr>
        <w:t xml:space="preserve"> (07.01.2015), lk 4 ja 33.</w:t>
      </w:r>
    </w:p>
  </w:footnote>
  <w:footnote w:id="6">
    <w:p w14:paraId="65295901" w14:textId="77777777" w:rsidR="00C84154" w:rsidRDefault="00291462" w:rsidP="00C84154">
      <w:pPr>
        <w:pStyle w:val="FootnoteText"/>
        <w:jc w:val="both"/>
        <w:rPr>
          <w:rFonts w:ascii="Times New Roman" w:hAnsi="Times New Roman"/>
        </w:rPr>
      </w:pPr>
      <w:r w:rsidRPr="00C84154">
        <w:rPr>
          <w:rStyle w:val="FootnoteReference"/>
          <w:rFonts w:ascii="Times New Roman" w:hAnsi="Times New Roman"/>
        </w:rPr>
        <w:footnoteRef/>
      </w:r>
      <w:r w:rsidRPr="00C84154">
        <w:rPr>
          <w:rFonts w:ascii="Times New Roman" w:hAnsi="Times New Roman"/>
        </w:rPr>
        <w:t xml:space="preserve"> EBA Opinion on ‘virtual currencies’. </w:t>
      </w:r>
      <w:r w:rsidR="00C96EA7" w:rsidRPr="00C84154">
        <w:rPr>
          <w:rFonts w:ascii="Times New Roman" w:hAnsi="Times New Roman"/>
        </w:rPr>
        <w:t xml:space="preserve">– </w:t>
      </w:r>
      <w:r w:rsidRPr="00C84154">
        <w:rPr>
          <w:rFonts w:ascii="Times New Roman" w:hAnsi="Times New Roman"/>
        </w:rPr>
        <w:t>4. juuli 2014</w:t>
      </w:r>
      <w:r w:rsidR="00C96EA7" w:rsidRPr="00C84154">
        <w:rPr>
          <w:rFonts w:ascii="Times New Roman" w:hAnsi="Times New Roman"/>
        </w:rPr>
        <w:t>, Kättesaadav</w:t>
      </w:r>
      <w:r w:rsidRPr="00C84154">
        <w:rPr>
          <w:rFonts w:ascii="Times New Roman" w:hAnsi="Times New Roman"/>
        </w:rPr>
        <w:t>:</w:t>
      </w:r>
    </w:p>
    <w:p w14:paraId="181A6206" w14:textId="7E485679" w:rsidR="00291462" w:rsidRPr="00C84154" w:rsidRDefault="00291462" w:rsidP="00C84154">
      <w:pPr>
        <w:pStyle w:val="FootnoteText"/>
        <w:jc w:val="both"/>
        <w:rPr>
          <w:rFonts w:ascii="Times New Roman" w:hAnsi="Times New Roman"/>
          <w:lang w:val="et-EE"/>
        </w:rPr>
      </w:pPr>
      <w:r w:rsidRPr="00C84154">
        <w:rPr>
          <w:rFonts w:ascii="Times New Roman" w:hAnsi="Times New Roman"/>
        </w:rPr>
        <w:t xml:space="preserve"> </w:t>
      </w:r>
      <w:hyperlink r:id="rId5" w:history="1">
        <w:r w:rsidRPr="00C84154">
          <w:rPr>
            <w:rStyle w:val="Hyperlink"/>
            <w:rFonts w:ascii="Times New Roman" w:hAnsi="Times New Roman"/>
          </w:rPr>
          <w:t>https://www.eba.europa.eu/documents/10180/657547/EBA-Op-2014-08+Opinion+on+Virtual+Currencies.pdf</w:t>
        </w:r>
      </w:hyperlink>
      <w:r w:rsidRPr="00C84154">
        <w:rPr>
          <w:rFonts w:ascii="Times New Roman" w:hAnsi="Times New Roman"/>
        </w:rPr>
        <w:t xml:space="preserve"> (07.01.2016), lk 11 (lõik 19).</w:t>
      </w:r>
    </w:p>
  </w:footnote>
  <w:footnote w:id="7">
    <w:p w14:paraId="382A5B5D" w14:textId="77777777" w:rsidR="00C84154" w:rsidRDefault="004F34AD" w:rsidP="00C84154">
      <w:pPr>
        <w:pStyle w:val="FootnoteText"/>
        <w:jc w:val="both"/>
        <w:rPr>
          <w:rFonts w:ascii="Times New Roman" w:hAnsi="Times New Roman"/>
          <w:lang w:val="et-EE"/>
        </w:rPr>
      </w:pPr>
      <w:r w:rsidRPr="00C84154">
        <w:rPr>
          <w:rStyle w:val="FootnoteReference"/>
          <w:rFonts w:ascii="Times New Roman" w:hAnsi="Times New Roman"/>
        </w:rPr>
        <w:footnoteRef/>
      </w:r>
      <w:r w:rsidRPr="00C84154">
        <w:rPr>
          <w:rFonts w:ascii="Times New Roman" w:hAnsi="Times New Roman"/>
        </w:rPr>
        <w:t xml:space="preserve"> Guidance for a Risk-Based Approach: Virtual Currencies. </w:t>
      </w:r>
      <w:r w:rsidR="007A5218" w:rsidRPr="00C84154">
        <w:rPr>
          <w:rFonts w:ascii="Times New Roman" w:hAnsi="Times New Roman"/>
        </w:rPr>
        <w:t xml:space="preserve">– </w:t>
      </w:r>
      <w:r w:rsidRPr="00C84154">
        <w:rPr>
          <w:rFonts w:ascii="Times New Roman" w:hAnsi="Times New Roman"/>
        </w:rPr>
        <w:t>Juuni</w:t>
      </w:r>
      <w:r w:rsidR="007A5218" w:rsidRPr="00C84154">
        <w:rPr>
          <w:rFonts w:ascii="Times New Roman" w:hAnsi="Times New Roman"/>
        </w:rPr>
        <w:t xml:space="preserve"> 2016,</w:t>
      </w:r>
      <w:r w:rsidRPr="00C84154">
        <w:rPr>
          <w:rFonts w:ascii="Times New Roman" w:hAnsi="Times New Roman"/>
        </w:rPr>
        <w:t xml:space="preserve"> </w:t>
      </w:r>
      <w:r w:rsidR="007A5218" w:rsidRPr="00C84154">
        <w:rPr>
          <w:rFonts w:ascii="Times New Roman" w:hAnsi="Times New Roman"/>
        </w:rPr>
        <w:t>Kättesaadav</w:t>
      </w:r>
      <w:r w:rsidRPr="00C84154">
        <w:rPr>
          <w:rFonts w:ascii="Times New Roman" w:hAnsi="Times New Roman"/>
          <w:lang w:val="et-EE"/>
        </w:rPr>
        <w:t>:</w:t>
      </w:r>
    </w:p>
    <w:p w14:paraId="472F40EB" w14:textId="4BFFDEEB" w:rsidR="004F34AD" w:rsidRPr="00C84154" w:rsidRDefault="004F34AD" w:rsidP="00C84154">
      <w:pPr>
        <w:pStyle w:val="FootnoteText"/>
        <w:jc w:val="both"/>
        <w:rPr>
          <w:rFonts w:ascii="Times New Roman" w:hAnsi="Times New Roman"/>
          <w:lang w:val="et-EE"/>
        </w:rPr>
      </w:pPr>
      <w:r w:rsidRPr="00C84154">
        <w:rPr>
          <w:rFonts w:ascii="Times New Roman" w:hAnsi="Times New Roman"/>
          <w:lang w:val="et-EE"/>
        </w:rPr>
        <w:t xml:space="preserve"> </w:t>
      </w:r>
      <w:hyperlink r:id="rId6" w:history="1">
        <w:r w:rsidRPr="00C84154">
          <w:rPr>
            <w:rStyle w:val="Hyperlink"/>
            <w:rFonts w:ascii="Times New Roman" w:hAnsi="Times New Roman"/>
            <w:lang w:val="et-EE"/>
          </w:rPr>
          <w:t>https://www.coe.int/t/dghl/monitoring/moneyval/Publications/Guidance-RBA-Virtual-Currencies.pdf</w:t>
        </w:r>
      </w:hyperlink>
      <w:r w:rsidRPr="00C84154">
        <w:rPr>
          <w:rFonts w:ascii="Times New Roman" w:hAnsi="Times New Roman"/>
          <w:lang w:val="et-EE"/>
        </w:rPr>
        <w:t xml:space="preserve"> (07.01.2016).</w:t>
      </w:r>
    </w:p>
  </w:footnote>
  <w:footnote w:id="8">
    <w:p w14:paraId="3217B8EF" w14:textId="77777777" w:rsidR="00C84154" w:rsidRDefault="00256D4B" w:rsidP="00C84154">
      <w:pPr>
        <w:pStyle w:val="FootnoteText"/>
        <w:jc w:val="both"/>
        <w:rPr>
          <w:rFonts w:ascii="Times New Roman" w:hAnsi="Times New Roman"/>
        </w:rPr>
      </w:pPr>
      <w:r w:rsidRPr="00C84154">
        <w:rPr>
          <w:rStyle w:val="FootnoteReference"/>
          <w:rFonts w:ascii="Times New Roman" w:hAnsi="Times New Roman"/>
        </w:rPr>
        <w:footnoteRef/>
      </w:r>
      <w:r w:rsidRPr="00C84154">
        <w:rPr>
          <w:rFonts w:ascii="Times New Roman" w:hAnsi="Times New Roman"/>
        </w:rPr>
        <w:t> The FATF Recommendatio</w:t>
      </w:r>
      <w:r w:rsidR="007A5218" w:rsidRPr="00C84154">
        <w:rPr>
          <w:rFonts w:ascii="Times New Roman" w:hAnsi="Times New Roman"/>
        </w:rPr>
        <w:t>ns. – Jaanuar 2012, Kättesaadav</w:t>
      </w:r>
      <w:r w:rsidRPr="00C84154">
        <w:rPr>
          <w:rFonts w:ascii="Times New Roman" w:hAnsi="Times New Roman"/>
        </w:rPr>
        <w:t>:</w:t>
      </w:r>
    </w:p>
    <w:p w14:paraId="7ADA4ECF" w14:textId="531E8150" w:rsidR="00256D4B" w:rsidRPr="00C84154" w:rsidRDefault="00256D4B" w:rsidP="00C84154">
      <w:pPr>
        <w:pStyle w:val="FootnoteText"/>
        <w:jc w:val="both"/>
        <w:rPr>
          <w:rFonts w:ascii="Times New Roman" w:hAnsi="Times New Roman"/>
          <w:lang w:val="et-EE"/>
        </w:rPr>
      </w:pPr>
      <w:r w:rsidRPr="00C84154">
        <w:rPr>
          <w:rFonts w:ascii="Times New Roman" w:hAnsi="Times New Roman"/>
        </w:rPr>
        <w:t xml:space="preserve"> </w:t>
      </w:r>
      <w:hyperlink r:id="rId7" w:history="1">
        <w:r w:rsidRPr="00C84154">
          <w:rPr>
            <w:rStyle w:val="Hyperlink"/>
            <w:rFonts w:ascii="Times New Roman" w:hAnsi="Times New Roman"/>
          </w:rPr>
          <w:t>http://www.fatf-gafi.org/publications/fatfrecommendations/documents/fatf-recommendations.html</w:t>
        </w:r>
      </w:hyperlink>
      <w:r w:rsidRPr="00C84154">
        <w:rPr>
          <w:rFonts w:ascii="Times New Roman" w:hAnsi="Times New Roman"/>
        </w:rPr>
        <w:t xml:space="preserve"> (07.01.2016).</w:t>
      </w:r>
    </w:p>
  </w:footnote>
  <w:footnote w:id="9">
    <w:p w14:paraId="240E5A6E" w14:textId="77777777" w:rsidR="00291462" w:rsidRPr="00C16AD9" w:rsidRDefault="00291462" w:rsidP="00C84154">
      <w:pPr>
        <w:pStyle w:val="FootnoteText"/>
        <w:jc w:val="both"/>
        <w:rPr>
          <w:rFonts w:ascii="Times New Roman" w:hAnsi="Times New Roman"/>
          <w:sz w:val="22"/>
          <w:szCs w:val="22"/>
          <w:lang w:val="et-EE"/>
        </w:rPr>
      </w:pPr>
      <w:r w:rsidRPr="00C84154">
        <w:rPr>
          <w:rStyle w:val="FootnoteReference"/>
          <w:rFonts w:ascii="Times New Roman" w:hAnsi="Times New Roman"/>
        </w:rPr>
        <w:footnoteRef/>
      </w:r>
      <w:r w:rsidRPr="00C84154">
        <w:rPr>
          <w:rFonts w:ascii="Times New Roman" w:hAnsi="Times New Roman"/>
        </w:rPr>
        <w:t xml:space="preserve"> </w:t>
      </w:r>
      <w:r w:rsidRPr="00C84154">
        <w:rPr>
          <w:rFonts w:ascii="Times New Roman" w:hAnsi="Times New Roman"/>
          <w:lang w:val="et-EE"/>
        </w:rPr>
        <w:t xml:space="preserve">Ingl k – </w:t>
      </w:r>
      <w:r w:rsidRPr="00C84154">
        <w:rPr>
          <w:rFonts w:ascii="Times New Roman" w:hAnsi="Times New Roman"/>
          <w:i/>
          <w:lang w:val="et-EE"/>
        </w:rPr>
        <w:t>Money or value transfer services (MVTS)</w:t>
      </w:r>
      <w:r w:rsidRPr="00C84154">
        <w:rPr>
          <w:rFonts w:ascii="Times New Roman" w:hAnsi="Times New Roman"/>
          <w:lang w:val="et-EE"/>
        </w:rPr>
        <w:t>.</w:t>
      </w:r>
    </w:p>
  </w:footnote>
  <w:footnote w:id="10">
    <w:p w14:paraId="1D6F3DC2" w14:textId="3493BC8B" w:rsidR="004F34AD" w:rsidRPr="00C84154" w:rsidRDefault="004F34AD" w:rsidP="00602CA1">
      <w:pPr>
        <w:pStyle w:val="FootnoteText"/>
        <w:jc w:val="both"/>
        <w:rPr>
          <w:rFonts w:ascii="Times New Roman" w:hAnsi="Times New Roman"/>
          <w:lang w:val="et-EE"/>
        </w:rPr>
      </w:pPr>
      <w:r w:rsidRPr="00C84154">
        <w:rPr>
          <w:rStyle w:val="FootnoteReference"/>
          <w:rFonts w:ascii="Times New Roman" w:hAnsi="Times New Roman"/>
        </w:rPr>
        <w:footnoteRef/>
      </w:r>
      <w:r w:rsidRPr="00C84154">
        <w:rPr>
          <w:rFonts w:ascii="Times New Roman" w:hAnsi="Times New Roman"/>
          <w:lang w:val="et-EE"/>
        </w:rPr>
        <w:t xml:space="preserve"> Rahapesu ja terrorismi rahastamise tõkestamise seaduse</w:t>
      </w:r>
      <w:r w:rsidR="00602CA1" w:rsidRPr="00C84154">
        <w:rPr>
          <w:rFonts w:ascii="Times New Roman" w:hAnsi="Times New Roman"/>
          <w:lang w:val="et-EE"/>
        </w:rPr>
        <w:t xml:space="preserve"> eelnõu </w:t>
      </w:r>
      <w:r w:rsidRPr="00C84154">
        <w:rPr>
          <w:rFonts w:ascii="Times New Roman" w:hAnsi="Times New Roman"/>
          <w:lang w:val="et-EE"/>
        </w:rPr>
        <w:t>seletuskiri (viide 1), lk 13.</w:t>
      </w:r>
    </w:p>
  </w:footnote>
  <w:footnote w:id="11">
    <w:p w14:paraId="4FA10F65" w14:textId="77777777" w:rsidR="004F34AD" w:rsidRPr="00C84248" w:rsidRDefault="004F34AD" w:rsidP="00602CA1">
      <w:pPr>
        <w:pStyle w:val="FootnoteText"/>
        <w:jc w:val="both"/>
        <w:rPr>
          <w:rFonts w:ascii="Times New Roman" w:hAnsi="Times New Roman"/>
          <w:sz w:val="22"/>
          <w:szCs w:val="22"/>
          <w:lang w:val="et-EE"/>
        </w:rPr>
      </w:pPr>
      <w:r w:rsidRPr="00C84154">
        <w:rPr>
          <w:rStyle w:val="FootnoteReference"/>
          <w:rFonts w:ascii="Times New Roman" w:hAnsi="Times New Roman"/>
          <w:lang w:val="et-EE"/>
        </w:rPr>
        <w:footnoteRef/>
      </w:r>
      <w:r w:rsidR="00602CA1" w:rsidRPr="00C84154">
        <w:rPr>
          <w:rFonts w:ascii="Times New Roman" w:hAnsi="Times New Roman"/>
          <w:lang w:val="et-EE"/>
        </w:rPr>
        <w:t xml:space="preserve"> Kuigi kolmanda</w:t>
      </w:r>
      <w:r w:rsidRPr="00C84154">
        <w:rPr>
          <w:rFonts w:ascii="Times New Roman" w:hAnsi="Times New Roman"/>
          <w:lang w:val="et-EE"/>
        </w:rPr>
        <w:t xml:space="preserve"> rahapesu tõkestamise direktiivi artiklis 3 </w:t>
      </w:r>
      <w:r w:rsidR="00602CA1" w:rsidRPr="00C84154">
        <w:rPr>
          <w:rFonts w:ascii="Times New Roman" w:hAnsi="Times New Roman"/>
          <w:lang w:val="et-EE"/>
        </w:rPr>
        <w:t>(</w:t>
      </w:r>
      <w:r w:rsidRPr="00C84154">
        <w:rPr>
          <w:rFonts w:ascii="Times New Roman" w:hAnsi="Times New Roman"/>
          <w:lang w:val="et-EE"/>
        </w:rPr>
        <w:t>2) a) on toodud viide Euroopa Parlamendi ja nõukogu direktiivile 2000/12/EÜ ja selle lisale I, on tegemist kehtetu direktiiviga, mis asendati Euroopa Parlamendi ja nõukogu direktiiviga 2006/48/EÜ ning viimane omakorda Euroopa Parlamendi ja nõukogu direktiiviga 2013/36/EL ehk CRD IV’ga. Seejuures viited kehtetuks tunnistatud direktiividele tõlgendatakse viidetena asendatavatele direktiividele ja loetakse vastavalt vastavustabelite</w:t>
      </w:r>
      <w:r w:rsidR="00602CA1" w:rsidRPr="00C84154">
        <w:rPr>
          <w:rFonts w:ascii="Times New Roman" w:hAnsi="Times New Roman"/>
          <w:lang w:val="et-EE"/>
        </w:rPr>
        <w:t>le.</w:t>
      </w:r>
    </w:p>
  </w:footnote>
  <w:footnote w:id="12">
    <w:p w14:paraId="70D88050" w14:textId="13710E5E" w:rsidR="004F34AD" w:rsidRPr="0054644F" w:rsidRDefault="004F34AD" w:rsidP="00C16AD9">
      <w:pPr>
        <w:pStyle w:val="FootnoteText"/>
        <w:jc w:val="both"/>
        <w:rPr>
          <w:rFonts w:ascii="Times New Roman" w:hAnsi="Times New Roman"/>
          <w:lang w:val="et-EE"/>
        </w:rPr>
      </w:pPr>
      <w:r w:rsidRPr="0054644F">
        <w:rPr>
          <w:rStyle w:val="FootnoteReference"/>
          <w:rFonts w:ascii="Times New Roman" w:hAnsi="Times New Roman"/>
        </w:rPr>
        <w:footnoteRef/>
      </w:r>
      <w:r w:rsidRPr="0054644F">
        <w:rPr>
          <w:rFonts w:ascii="Times New Roman" w:hAnsi="Times New Roman"/>
        </w:rPr>
        <w:t xml:space="preserve"> EBA Opinion on ‘virtual currencies’ (</w:t>
      </w:r>
      <w:r w:rsidRPr="0054644F">
        <w:rPr>
          <w:rFonts w:ascii="Times New Roman" w:hAnsi="Times New Roman"/>
          <w:lang w:val="et-EE"/>
        </w:rPr>
        <w:t>viide</w:t>
      </w:r>
      <w:r w:rsidRPr="0054644F">
        <w:rPr>
          <w:rFonts w:ascii="Times New Roman" w:hAnsi="Times New Roman"/>
        </w:rPr>
        <w:t xml:space="preserve"> </w:t>
      </w:r>
      <w:r w:rsidR="00FE632F" w:rsidRPr="0054644F">
        <w:rPr>
          <w:rFonts w:ascii="Times New Roman" w:hAnsi="Times New Roman"/>
        </w:rPr>
        <w:t>6</w:t>
      </w:r>
      <w:r w:rsidRPr="0054644F">
        <w:rPr>
          <w:rFonts w:ascii="Times New Roman" w:hAnsi="Times New Roman"/>
        </w:rPr>
        <w:t xml:space="preserve">), </w:t>
      </w:r>
      <w:r w:rsidRPr="0054644F">
        <w:rPr>
          <w:rFonts w:ascii="Times New Roman" w:hAnsi="Times New Roman"/>
          <w:lang w:val="et-EE"/>
        </w:rPr>
        <w:t>lk 6.</w:t>
      </w:r>
    </w:p>
  </w:footnote>
  <w:footnote w:id="13">
    <w:p w14:paraId="3CBF691C" w14:textId="19BBDB37" w:rsidR="004F34AD" w:rsidRPr="00623612" w:rsidRDefault="004F34AD" w:rsidP="00C16AD9">
      <w:pPr>
        <w:pStyle w:val="FootnoteText"/>
        <w:jc w:val="both"/>
        <w:rPr>
          <w:lang w:val="et-EE"/>
        </w:rPr>
      </w:pPr>
      <w:r w:rsidRPr="0054644F">
        <w:rPr>
          <w:rStyle w:val="FootnoteReference"/>
          <w:rFonts w:ascii="Times New Roman" w:hAnsi="Times New Roman"/>
        </w:rPr>
        <w:footnoteRef/>
      </w:r>
      <w:r w:rsidRPr="0054644F">
        <w:rPr>
          <w:rFonts w:ascii="Times New Roman" w:hAnsi="Times New Roman"/>
        </w:rPr>
        <w:t xml:space="preserve"> Guidance for a Risk-Based Approach: Virtual Currencies (viide </w:t>
      </w:r>
      <w:r w:rsidR="00FE632F" w:rsidRPr="0054644F">
        <w:rPr>
          <w:rFonts w:ascii="Times New Roman" w:hAnsi="Times New Roman"/>
        </w:rPr>
        <w:t>7</w:t>
      </w:r>
      <w:r w:rsidRPr="0054644F">
        <w:rPr>
          <w:rFonts w:ascii="Times New Roman" w:hAnsi="Times New Roman"/>
        </w:rPr>
        <w:t>), lõik 63.</w:t>
      </w:r>
    </w:p>
  </w:footnote>
  <w:footnote w:id="14">
    <w:p w14:paraId="16302E51" w14:textId="77777777" w:rsidR="00B2502D" w:rsidRPr="0054644F" w:rsidRDefault="00B2502D" w:rsidP="00B2502D">
      <w:pPr>
        <w:pStyle w:val="FootnoteText"/>
        <w:rPr>
          <w:rFonts w:ascii="Times New Roman" w:hAnsi="Times New Roman"/>
          <w:iCs/>
          <w:lang w:val="et-EE"/>
        </w:rPr>
      </w:pPr>
      <w:r w:rsidRPr="0054644F">
        <w:rPr>
          <w:rStyle w:val="FootnoteReference"/>
          <w:rFonts w:ascii="Times New Roman" w:hAnsi="Times New Roman"/>
        </w:rPr>
        <w:footnoteRef/>
      </w:r>
      <w:r w:rsidRPr="0054644F">
        <w:rPr>
          <w:rFonts w:ascii="Times New Roman" w:hAnsi="Times New Roman"/>
        </w:rPr>
        <w:t xml:space="preserve"> </w:t>
      </w:r>
      <w:r w:rsidRPr="0054644F">
        <w:rPr>
          <w:rFonts w:ascii="Times New Roman" w:hAnsi="Times New Roman"/>
          <w:iCs/>
          <w:lang w:val="et-EE"/>
        </w:rPr>
        <w:t>Allikas: Federal Reserve Bank of Atlanta</w:t>
      </w:r>
    </w:p>
    <w:p w14:paraId="516D966B" w14:textId="77777777" w:rsidR="00B2502D" w:rsidRPr="0021469F" w:rsidRDefault="00B2502D">
      <w:pPr>
        <w:pStyle w:val="FootnoteText"/>
        <w:rPr>
          <w:lang w:val="et-EE"/>
        </w:rPr>
      </w:pPr>
    </w:p>
  </w:footnote>
  <w:footnote w:id="15">
    <w:p w14:paraId="39B70482" w14:textId="77777777" w:rsidR="0054644F" w:rsidRDefault="003B4AF7" w:rsidP="009F7041">
      <w:pPr>
        <w:pStyle w:val="FootnoteText"/>
        <w:jc w:val="both"/>
        <w:rPr>
          <w:rFonts w:ascii="Times New Roman" w:hAnsi="Times New Roman"/>
        </w:rPr>
      </w:pPr>
      <w:r w:rsidRPr="0054644F">
        <w:rPr>
          <w:rStyle w:val="FootnoteReference"/>
          <w:rFonts w:ascii="Times New Roman" w:hAnsi="Times New Roman"/>
        </w:rPr>
        <w:footnoteRef/>
      </w:r>
      <w:r w:rsidRPr="0054644F">
        <w:rPr>
          <w:rFonts w:ascii="Times New Roman" w:hAnsi="Times New Roman"/>
        </w:rPr>
        <w:t xml:space="preserve"> </w:t>
      </w:r>
      <w:r w:rsidR="0009118E" w:rsidRPr="0054644F">
        <w:rPr>
          <w:rFonts w:ascii="Times New Roman" w:hAnsi="Times New Roman"/>
        </w:rPr>
        <w:t>Euroopa Pangandusjärelevalve 12.12.2013 hoiatus eesti keeles</w:t>
      </w:r>
      <w:r w:rsidR="00B66F3B" w:rsidRPr="0054644F">
        <w:rPr>
          <w:rFonts w:ascii="Times New Roman" w:hAnsi="Times New Roman"/>
        </w:rPr>
        <w:t>. Kättesaadav</w:t>
      </w:r>
      <w:r w:rsidR="0009118E" w:rsidRPr="0054644F">
        <w:rPr>
          <w:rFonts w:ascii="Times New Roman" w:hAnsi="Times New Roman"/>
        </w:rPr>
        <w:t>:</w:t>
      </w:r>
    </w:p>
    <w:p w14:paraId="7E26415B" w14:textId="3D34C6E5" w:rsidR="003B4AF7" w:rsidRPr="0054644F" w:rsidRDefault="0009118E" w:rsidP="009F7041">
      <w:pPr>
        <w:pStyle w:val="FootnoteText"/>
        <w:jc w:val="both"/>
        <w:rPr>
          <w:rFonts w:ascii="Times New Roman" w:hAnsi="Times New Roman"/>
          <w:lang w:val="et-EE"/>
        </w:rPr>
      </w:pPr>
      <w:r w:rsidRPr="0054644F">
        <w:rPr>
          <w:rFonts w:ascii="Times New Roman" w:hAnsi="Times New Roman"/>
        </w:rPr>
        <w:t xml:space="preserve"> </w:t>
      </w:r>
      <w:hyperlink r:id="rId8" w:history="1">
        <w:r w:rsidR="003B4AF7" w:rsidRPr="0054644F">
          <w:rPr>
            <w:rStyle w:val="Hyperlink"/>
            <w:rFonts w:ascii="Times New Roman" w:hAnsi="Times New Roman"/>
          </w:rPr>
          <w:t>https://www.fi.ee/public/EBA_virtuaalne_vaaring.pdf</w:t>
        </w:r>
      </w:hyperlink>
      <w:r w:rsidRPr="0054644F">
        <w:rPr>
          <w:rStyle w:val="Hyperlink"/>
          <w:rFonts w:ascii="Times New Roman" w:hAnsi="Times New Roman"/>
        </w:rPr>
        <w:t xml:space="preserve"> (07.01.2015), lk 1.</w:t>
      </w:r>
    </w:p>
  </w:footnote>
  <w:footnote w:id="16">
    <w:p w14:paraId="1CA63DDE" w14:textId="5A794F1E" w:rsidR="002B1F9A" w:rsidRPr="00C84248" w:rsidRDefault="002B1F9A" w:rsidP="009F7041">
      <w:pPr>
        <w:pStyle w:val="FootnoteText"/>
        <w:jc w:val="both"/>
        <w:rPr>
          <w:sz w:val="22"/>
          <w:szCs w:val="22"/>
          <w:lang w:val="et-EE"/>
        </w:rPr>
      </w:pPr>
      <w:r w:rsidRPr="0054644F">
        <w:rPr>
          <w:rStyle w:val="FootnoteReference"/>
          <w:rFonts w:ascii="Times New Roman" w:hAnsi="Times New Roman"/>
        </w:rPr>
        <w:footnoteRef/>
      </w:r>
      <w:r w:rsidRPr="0054644F">
        <w:rPr>
          <w:rFonts w:ascii="Times New Roman" w:hAnsi="Times New Roman"/>
        </w:rPr>
        <w:t xml:space="preserve"> </w:t>
      </w:r>
      <w:r w:rsidR="0009118E" w:rsidRPr="0054644F">
        <w:rPr>
          <w:rFonts w:ascii="Times New Roman" w:hAnsi="Times New Roman"/>
        </w:rPr>
        <w:t>Rahapesu andmebüro</w:t>
      </w:r>
      <w:r w:rsidR="00C16AD9" w:rsidRPr="0054644F">
        <w:rPr>
          <w:rFonts w:ascii="Times New Roman" w:hAnsi="Times New Roman"/>
        </w:rPr>
        <w:t>o aastaraamat 2013. Kättesaadav</w:t>
      </w:r>
      <w:r w:rsidR="0009118E" w:rsidRPr="0054644F">
        <w:rPr>
          <w:rFonts w:ascii="Times New Roman" w:hAnsi="Times New Roman"/>
        </w:rPr>
        <w:t xml:space="preserve">: </w:t>
      </w:r>
      <w:hyperlink r:id="rId9" w:history="1">
        <w:r w:rsidRPr="0054644F">
          <w:rPr>
            <w:rStyle w:val="Hyperlink"/>
            <w:rFonts w:ascii="Times New Roman" w:hAnsi="Times New Roman"/>
          </w:rPr>
          <w:t>https://www.politsei.ee/dotAsset/330091.pdf</w:t>
        </w:r>
      </w:hyperlink>
      <w:r w:rsidRPr="0054644F">
        <w:rPr>
          <w:rFonts w:ascii="Times New Roman" w:hAnsi="Times New Roman"/>
        </w:rPr>
        <w:t xml:space="preserve"> </w:t>
      </w:r>
      <w:r w:rsidR="0009118E" w:rsidRPr="0054644F">
        <w:rPr>
          <w:rFonts w:ascii="Times New Roman" w:hAnsi="Times New Roman"/>
        </w:rPr>
        <w:t>(07.01.2016), lk 18.</w:t>
      </w:r>
    </w:p>
  </w:footnote>
  <w:footnote w:id="17">
    <w:p w14:paraId="30A0203A" w14:textId="2CBF0699" w:rsidR="0009118E" w:rsidRPr="0054644F" w:rsidRDefault="0009118E" w:rsidP="0054644F">
      <w:pPr>
        <w:pStyle w:val="FootnoteText"/>
        <w:jc w:val="both"/>
        <w:rPr>
          <w:rFonts w:ascii="Times New Roman" w:hAnsi="Times New Roman"/>
          <w:lang w:val="et-EE"/>
        </w:rPr>
      </w:pPr>
      <w:r w:rsidRPr="0054644F">
        <w:rPr>
          <w:rStyle w:val="FootnoteReference"/>
          <w:rFonts w:ascii="Times New Roman" w:hAnsi="Times New Roman"/>
        </w:rPr>
        <w:footnoteRef/>
      </w:r>
      <w:r w:rsidRPr="0054644F">
        <w:rPr>
          <w:rFonts w:ascii="Times New Roman" w:hAnsi="Times New Roman"/>
        </w:rPr>
        <w:t xml:space="preserve"> </w:t>
      </w:r>
      <w:r w:rsidRPr="0054644F">
        <w:rPr>
          <w:rFonts w:ascii="Times New Roman" w:hAnsi="Times New Roman"/>
          <w:lang w:val="et-EE"/>
        </w:rPr>
        <w:t xml:space="preserve">Vt selles osas ka vastust küsimusele </w:t>
      </w:r>
      <w:r w:rsidR="0054644F">
        <w:rPr>
          <w:rFonts w:ascii="Times New Roman" w:hAnsi="Times New Roman"/>
          <w:lang w:val="et-EE"/>
        </w:rPr>
        <w:t xml:space="preserve">nr </w:t>
      </w:r>
      <w:bookmarkStart w:id="0" w:name="_GoBack"/>
      <w:bookmarkEnd w:id="0"/>
      <w:r w:rsidRPr="0054644F">
        <w:rPr>
          <w:rFonts w:ascii="Times New Roman" w:hAnsi="Times New Roman"/>
          <w:lang w:val="et-EE"/>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600E" w14:textId="77777777" w:rsidR="00AE2635" w:rsidRDefault="00AE2635" w:rsidP="00FA1F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4E150" w14:textId="77777777" w:rsidR="00AE2635" w:rsidRDefault="00AE2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8CF6" w14:textId="77777777" w:rsidR="00AE2635" w:rsidRDefault="00AE2635" w:rsidP="00FA1F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44F">
      <w:rPr>
        <w:rStyle w:val="PageNumber"/>
        <w:noProof/>
      </w:rPr>
      <w:t>2</w:t>
    </w:r>
    <w:r>
      <w:rPr>
        <w:rStyle w:val="PageNumber"/>
      </w:rPr>
      <w:fldChar w:fldCharType="end"/>
    </w:r>
  </w:p>
  <w:p w14:paraId="16B1A92A" w14:textId="77777777" w:rsidR="00AE2635" w:rsidRDefault="00AE2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4F16" w14:textId="77777777" w:rsidR="00674C6A" w:rsidRDefault="005134D7">
    <w:pPr>
      <w:pStyle w:val="Header"/>
    </w:pPr>
    <w:r>
      <w:rPr>
        <w:noProof/>
      </w:rPr>
      <w:drawing>
        <wp:anchor distT="0" distB="0" distL="114300" distR="114300" simplePos="0" relativeHeight="251657216" behindDoc="1" locked="0" layoutInCell="1" allowOverlap="1" wp14:anchorId="1E5021FA" wp14:editId="03342F18">
          <wp:simplePos x="0" y="0"/>
          <wp:positionH relativeFrom="column">
            <wp:posOffset>2262505</wp:posOffset>
          </wp:positionH>
          <wp:positionV relativeFrom="page">
            <wp:posOffset>6371590</wp:posOffset>
          </wp:positionV>
          <wp:extent cx="4210050" cy="4314825"/>
          <wp:effectExtent l="0" t="0" r="0" b="9525"/>
          <wp:wrapNone/>
          <wp:docPr id="2" name="Picture 1" descr="fi_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foo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FF52D6" wp14:editId="7519882D">
          <wp:extent cx="2076450" cy="904875"/>
          <wp:effectExtent l="0" t="0" r="0" b="9525"/>
          <wp:docPr id="1" name="Picture 1" descr="fi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7A"/>
    <w:rsid w:val="000065B3"/>
    <w:rsid w:val="00014C68"/>
    <w:rsid w:val="00015B23"/>
    <w:rsid w:val="00021678"/>
    <w:rsid w:val="00035C66"/>
    <w:rsid w:val="00037F44"/>
    <w:rsid w:val="00041C50"/>
    <w:rsid w:val="00045077"/>
    <w:rsid w:val="000450EB"/>
    <w:rsid w:val="00056662"/>
    <w:rsid w:val="000570DE"/>
    <w:rsid w:val="00057F9B"/>
    <w:rsid w:val="000661A4"/>
    <w:rsid w:val="00072E45"/>
    <w:rsid w:val="00080061"/>
    <w:rsid w:val="00086A85"/>
    <w:rsid w:val="00087C42"/>
    <w:rsid w:val="00090733"/>
    <w:rsid w:val="0009118E"/>
    <w:rsid w:val="00092501"/>
    <w:rsid w:val="00096B7C"/>
    <w:rsid w:val="000A0846"/>
    <w:rsid w:val="000B14F9"/>
    <w:rsid w:val="000C06BE"/>
    <w:rsid w:val="000D100D"/>
    <w:rsid w:val="000D535C"/>
    <w:rsid w:val="000E0672"/>
    <w:rsid w:val="000E14CF"/>
    <w:rsid w:val="000F1EBE"/>
    <w:rsid w:val="000F5042"/>
    <w:rsid w:val="000F710C"/>
    <w:rsid w:val="00101EF7"/>
    <w:rsid w:val="00102BC9"/>
    <w:rsid w:val="001039A6"/>
    <w:rsid w:val="00105F32"/>
    <w:rsid w:val="00107933"/>
    <w:rsid w:val="00112068"/>
    <w:rsid w:val="00113C38"/>
    <w:rsid w:val="00126556"/>
    <w:rsid w:val="00127B9E"/>
    <w:rsid w:val="001302F3"/>
    <w:rsid w:val="00132356"/>
    <w:rsid w:val="00141811"/>
    <w:rsid w:val="00143375"/>
    <w:rsid w:val="001646D1"/>
    <w:rsid w:val="00166C30"/>
    <w:rsid w:val="0018262C"/>
    <w:rsid w:val="001870E7"/>
    <w:rsid w:val="00194662"/>
    <w:rsid w:val="00196007"/>
    <w:rsid w:val="001A199E"/>
    <w:rsid w:val="001A2F1D"/>
    <w:rsid w:val="001A771C"/>
    <w:rsid w:val="001B0798"/>
    <w:rsid w:val="001B6756"/>
    <w:rsid w:val="001C0FF6"/>
    <w:rsid w:val="001C45CD"/>
    <w:rsid w:val="001C6642"/>
    <w:rsid w:val="001D0585"/>
    <w:rsid w:val="001D287F"/>
    <w:rsid w:val="001D40AC"/>
    <w:rsid w:val="001D7182"/>
    <w:rsid w:val="001D72A2"/>
    <w:rsid w:val="001E26FD"/>
    <w:rsid w:val="001E6AD2"/>
    <w:rsid w:val="001E7352"/>
    <w:rsid w:val="001F2933"/>
    <w:rsid w:val="001F33E6"/>
    <w:rsid w:val="00202592"/>
    <w:rsid w:val="002066E6"/>
    <w:rsid w:val="00214607"/>
    <w:rsid w:val="0021469F"/>
    <w:rsid w:val="00220674"/>
    <w:rsid w:val="00241276"/>
    <w:rsid w:val="002447D0"/>
    <w:rsid w:val="002522DE"/>
    <w:rsid w:val="002528C7"/>
    <w:rsid w:val="00256D4B"/>
    <w:rsid w:val="00260CB6"/>
    <w:rsid w:val="002733EE"/>
    <w:rsid w:val="00277F06"/>
    <w:rsid w:val="002862D6"/>
    <w:rsid w:val="00287459"/>
    <w:rsid w:val="00291462"/>
    <w:rsid w:val="002A435F"/>
    <w:rsid w:val="002A57B6"/>
    <w:rsid w:val="002A7640"/>
    <w:rsid w:val="002B0299"/>
    <w:rsid w:val="002B1F9A"/>
    <w:rsid w:val="002C3D72"/>
    <w:rsid w:val="002D1676"/>
    <w:rsid w:val="002D514C"/>
    <w:rsid w:val="002D7654"/>
    <w:rsid w:val="002E0F07"/>
    <w:rsid w:val="002F317B"/>
    <w:rsid w:val="002F6476"/>
    <w:rsid w:val="002F77CA"/>
    <w:rsid w:val="002F7F92"/>
    <w:rsid w:val="003006B2"/>
    <w:rsid w:val="00310DEE"/>
    <w:rsid w:val="003160F7"/>
    <w:rsid w:val="00324A3E"/>
    <w:rsid w:val="00326481"/>
    <w:rsid w:val="00335D5A"/>
    <w:rsid w:val="00351D89"/>
    <w:rsid w:val="00356B24"/>
    <w:rsid w:val="00374351"/>
    <w:rsid w:val="00390828"/>
    <w:rsid w:val="00390F4D"/>
    <w:rsid w:val="0039458B"/>
    <w:rsid w:val="003A2FFD"/>
    <w:rsid w:val="003A724D"/>
    <w:rsid w:val="003B3703"/>
    <w:rsid w:val="003B4AF7"/>
    <w:rsid w:val="003B5C52"/>
    <w:rsid w:val="003B7010"/>
    <w:rsid w:val="003D3CD1"/>
    <w:rsid w:val="003D416B"/>
    <w:rsid w:val="003E4741"/>
    <w:rsid w:val="003E484A"/>
    <w:rsid w:val="003E68B7"/>
    <w:rsid w:val="004010AC"/>
    <w:rsid w:val="004041CA"/>
    <w:rsid w:val="00404D3D"/>
    <w:rsid w:val="0041149E"/>
    <w:rsid w:val="00430EA1"/>
    <w:rsid w:val="004316D5"/>
    <w:rsid w:val="00443B39"/>
    <w:rsid w:val="00444010"/>
    <w:rsid w:val="004476AA"/>
    <w:rsid w:val="00455789"/>
    <w:rsid w:val="0045786D"/>
    <w:rsid w:val="0047292C"/>
    <w:rsid w:val="00485579"/>
    <w:rsid w:val="00487B14"/>
    <w:rsid w:val="004A184E"/>
    <w:rsid w:val="004B189E"/>
    <w:rsid w:val="004B258F"/>
    <w:rsid w:val="004C6C8B"/>
    <w:rsid w:val="004D487B"/>
    <w:rsid w:val="004D59C8"/>
    <w:rsid w:val="004F06B5"/>
    <w:rsid w:val="004F26B6"/>
    <w:rsid w:val="004F34AD"/>
    <w:rsid w:val="0050712A"/>
    <w:rsid w:val="005107EE"/>
    <w:rsid w:val="005134D7"/>
    <w:rsid w:val="00513D6B"/>
    <w:rsid w:val="00515A16"/>
    <w:rsid w:val="0052138F"/>
    <w:rsid w:val="00526CBA"/>
    <w:rsid w:val="00527660"/>
    <w:rsid w:val="00532258"/>
    <w:rsid w:val="0054644F"/>
    <w:rsid w:val="00564313"/>
    <w:rsid w:val="0058194A"/>
    <w:rsid w:val="00593F2A"/>
    <w:rsid w:val="00595192"/>
    <w:rsid w:val="005A6724"/>
    <w:rsid w:val="005B07DF"/>
    <w:rsid w:val="005B1BB2"/>
    <w:rsid w:val="005B4097"/>
    <w:rsid w:val="005C402F"/>
    <w:rsid w:val="005D102A"/>
    <w:rsid w:val="005F7667"/>
    <w:rsid w:val="006009D7"/>
    <w:rsid w:val="00601E5A"/>
    <w:rsid w:val="00602423"/>
    <w:rsid w:val="00602CA1"/>
    <w:rsid w:val="0060739E"/>
    <w:rsid w:val="0061065E"/>
    <w:rsid w:val="00611E36"/>
    <w:rsid w:val="00625534"/>
    <w:rsid w:val="00636D35"/>
    <w:rsid w:val="00643434"/>
    <w:rsid w:val="00652C40"/>
    <w:rsid w:val="006541C6"/>
    <w:rsid w:val="00661A7E"/>
    <w:rsid w:val="006744D7"/>
    <w:rsid w:val="00674C6A"/>
    <w:rsid w:val="00674CA4"/>
    <w:rsid w:val="00676AC9"/>
    <w:rsid w:val="00676D87"/>
    <w:rsid w:val="00690655"/>
    <w:rsid w:val="006C1C2B"/>
    <w:rsid w:val="006D02CE"/>
    <w:rsid w:val="006D119B"/>
    <w:rsid w:val="006F0F7C"/>
    <w:rsid w:val="006F78BD"/>
    <w:rsid w:val="00702178"/>
    <w:rsid w:val="00703CC8"/>
    <w:rsid w:val="0070621B"/>
    <w:rsid w:val="00742E30"/>
    <w:rsid w:val="00743420"/>
    <w:rsid w:val="00744B9C"/>
    <w:rsid w:val="007459D4"/>
    <w:rsid w:val="00756704"/>
    <w:rsid w:val="0076797B"/>
    <w:rsid w:val="00770DB7"/>
    <w:rsid w:val="00770F7B"/>
    <w:rsid w:val="00771AA4"/>
    <w:rsid w:val="007812D9"/>
    <w:rsid w:val="0078349F"/>
    <w:rsid w:val="0078571F"/>
    <w:rsid w:val="00786F5A"/>
    <w:rsid w:val="00793E7B"/>
    <w:rsid w:val="007A3480"/>
    <w:rsid w:val="007A5218"/>
    <w:rsid w:val="007B46FB"/>
    <w:rsid w:val="007B7B8B"/>
    <w:rsid w:val="007D2D1C"/>
    <w:rsid w:val="007E651E"/>
    <w:rsid w:val="007E7A3E"/>
    <w:rsid w:val="007F118F"/>
    <w:rsid w:val="00812C63"/>
    <w:rsid w:val="008147DB"/>
    <w:rsid w:val="00827CC1"/>
    <w:rsid w:val="00831201"/>
    <w:rsid w:val="00837E8B"/>
    <w:rsid w:val="008474E6"/>
    <w:rsid w:val="00850D5F"/>
    <w:rsid w:val="00866D73"/>
    <w:rsid w:val="00872D57"/>
    <w:rsid w:val="008802AD"/>
    <w:rsid w:val="008806F3"/>
    <w:rsid w:val="008806FE"/>
    <w:rsid w:val="008847AE"/>
    <w:rsid w:val="008903A3"/>
    <w:rsid w:val="0089243B"/>
    <w:rsid w:val="00893658"/>
    <w:rsid w:val="008A58DF"/>
    <w:rsid w:val="008A7DE3"/>
    <w:rsid w:val="008C189E"/>
    <w:rsid w:val="008D126B"/>
    <w:rsid w:val="008D41BC"/>
    <w:rsid w:val="008E027F"/>
    <w:rsid w:val="008F50FC"/>
    <w:rsid w:val="009031C3"/>
    <w:rsid w:val="00907930"/>
    <w:rsid w:val="0093169A"/>
    <w:rsid w:val="00932456"/>
    <w:rsid w:val="009348BA"/>
    <w:rsid w:val="009359F0"/>
    <w:rsid w:val="00946A65"/>
    <w:rsid w:val="00946D50"/>
    <w:rsid w:val="00947F42"/>
    <w:rsid w:val="00952991"/>
    <w:rsid w:val="00954B24"/>
    <w:rsid w:val="00956A89"/>
    <w:rsid w:val="0096570B"/>
    <w:rsid w:val="00972D85"/>
    <w:rsid w:val="0097540E"/>
    <w:rsid w:val="00975F90"/>
    <w:rsid w:val="0098348D"/>
    <w:rsid w:val="0099402C"/>
    <w:rsid w:val="009A24FA"/>
    <w:rsid w:val="009A6DF0"/>
    <w:rsid w:val="009B0BF9"/>
    <w:rsid w:val="009B0EF3"/>
    <w:rsid w:val="009B1AC6"/>
    <w:rsid w:val="009B6CE7"/>
    <w:rsid w:val="009C2010"/>
    <w:rsid w:val="009C30F5"/>
    <w:rsid w:val="009C43FB"/>
    <w:rsid w:val="009C4B7C"/>
    <w:rsid w:val="009C73B8"/>
    <w:rsid w:val="009D0073"/>
    <w:rsid w:val="009D1E32"/>
    <w:rsid w:val="009D7DD9"/>
    <w:rsid w:val="009E1B86"/>
    <w:rsid w:val="009E61D9"/>
    <w:rsid w:val="009F7041"/>
    <w:rsid w:val="00A022A2"/>
    <w:rsid w:val="00A07524"/>
    <w:rsid w:val="00A13846"/>
    <w:rsid w:val="00A20BC2"/>
    <w:rsid w:val="00A2151D"/>
    <w:rsid w:val="00A21695"/>
    <w:rsid w:val="00A27334"/>
    <w:rsid w:val="00A32872"/>
    <w:rsid w:val="00A34988"/>
    <w:rsid w:val="00A50DB9"/>
    <w:rsid w:val="00A60243"/>
    <w:rsid w:val="00A64B8D"/>
    <w:rsid w:val="00A75555"/>
    <w:rsid w:val="00A806AA"/>
    <w:rsid w:val="00A9092C"/>
    <w:rsid w:val="00A90988"/>
    <w:rsid w:val="00A92DDE"/>
    <w:rsid w:val="00A934AA"/>
    <w:rsid w:val="00A94444"/>
    <w:rsid w:val="00A95ED7"/>
    <w:rsid w:val="00A97AB3"/>
    <w:rsid w:val="00AA257A"/>
    <w:rsid w:val="00AC3095"/>
    <w:rsid w:val="00AC607B"/>
    <w:rsid w:val="00AD3055"/>
    <w:rsid w:val="00AD6782"/>
    <w:rsid w:val="00AD754C"/>
    <w:rsid w:val="00AE2635"/>
    <w:rsid w:val="00AE3ABA"/>
    <w:rsid w:val="00AF105E"/>
    <w:rsid w:val="00AF2E6A"/>
    <w:rsid w:val="00AF75B8"/>
    <w:rsid w:val="00B104AE"/>
    <w:rsid w:val="00B12738"/>
    <w:rsid w:val="00B2502D"/>
    <w:rsid w:val="00B3011C"/>
    <w:rsid w:val="00B376D8"/>
    <w:rsid w:val="00B4705F"/>
    <w:rsid w:val="00B50841"/>
    <w:rsid w:val="00B5270B"/>
    <w:rsid w:val="00B54220"/>
    <w:rsid w:val="00B5483F"/>
    <w:rsid w:val="00B5514F"/>
    <w:rsid w:val="00B56AC1"/>
    <w:rsid w:val="00B617AF"/>
    <w:rsid w:val="00B66F3B"/>
    <w:rsid w:val="00B67E29"/>
    <w:rsid w:val="00B709E7"/>
    <w:rsid w:val="00B70F82"/>
    <w:rsid w:val="00B722D8"/>
    <w:rsid w:val="00B72F93"/>
    <w:rsid w:val="00B7351A"/>
    <w:rsid w:val="00B81A13"/>
    <w:rsid w:val="00B97D33"/>
    <w:rsid w:val="00BB048E"/>
    <w:rsid w:val="00BB21C5"/>
    <w:rsid w:val="00BB6F3A"/>
    <w:rsid w:val="00BC17FD"/>
    <w:rsid w:val="00BC3616"/>
    <w:rsid w:val="00BC5A38"/>
    <w:rsid w:val="00BD3978"/>
    <w:rsid w:val="00BD3A7A"/>
    <w:rsid w:val="00BD5126"/>
    <w:rsid w:val="00BE5391"/>
    <w:rsid w:val="00BF394A"/>
    <w:rsid w:val="00BF5FC6"/>
    <w:rsid w:val="00C070A3"/>
    <w:rsid w:val="00C11619"/>
    <w:rsid w:val="00C13EAE"/>
    <w:rsid w:val="00C150C8"/>
    <w:rsid w:val="00C16AD9"/>
    <w:rsid w:val="00C40DF3"/>
    <w:rsid w:val="00C41D7E"/>
    <w:rsid w:val="00C43CF4"/>
    <w:rsid w:val="00C45CB3"/>
    <w:rsid w:val="00C5511E"/>
    <w:rsid w:val="00C61CD0"/>
    <w:rsid w:val="00C64C4B"/>
    <w:rsid w:val="00C830A0"/>
    <w:rsid w:val="00C839E5"/>
    <w:rsid w:val="00C84154"/>
    <w:rsid w:val="00C84248"/>
    <w:rsid w:val="00C84AB5"/>
    <w:rsid w:val="00C90BE0"/>
    <w:rsid w:val="00C931F4"/>
    <w:rsid w:val="00C93727"/>
    <w:rsid w:val="00C96EA7"/>
    <w:rsid w:val="00CB0EEF"/>
    <w:rsid w:val="00CB5B5A"/>
    <w:rsid w:val="00CC644A"/>
    <w:rsid w:val="00CD712B"/>
    <w:rsid w:val="00CE2758"/>
    <w:rsid w:val="00CE3219"/>
    <w:rsid w:val="00CE4725"/>
    <w:rsid w:val="00D02CB0"/>
    <w:rsid w:val="00D04D01"/>
    <w:rsid w:val="00D11C89"/>
    <w:rsid w:val="00D20975"/>
    <w:rsid w:val="00D2734C"/>
    <w:rsid w:val="00D31349"/>
    <w:rsid w:val="00D36A09"/>
    <w:rsid w:val="00D36B2D"/>
    <w:rsid w:val="00D4080F"/>
    <w:rsid w:val="00D42896"/>
    <w:rsid w:val="00D54C6D"/>
    <w:rsid w:val="00D70572"/>
    <w:rsid w:val="00D75BF7"/>
    <w:rsid w:val="00D91041"/>
    <w:rsid w:val="00D92106"/>
    <w:rsid w:val="00D97015"/>
    <w:rsid w:val="00D973E3"/>
    <w:rsid w:val="00DA63C2"/>
    <w:rsid w:val="00DB08AD"/>
    <w:rsid w:val="00DB182A"/>
    <w:rsid w:val="00DB2300"/>
    <w:rsid w:val="00DB661B"/>
    <w:rsid w:val="00DE0DCD"/>
    <w:rsid w:val="00DE2F61"/>
    <w:rsid w:val="00DF2086"/>
    <w:rsid w:val="00E00FB6"/>
    <w:rsid w:val="00E06FC8"/>
    <w:rsid w:val="00E07970"/>
    <w:rsid w:val="00E10147"/>
    <w:rsid w:val="00E32391"/>
    <w:rsid w:val="00E35DC7"/>
    <w:rsid w:val="00E516CE"/>
    <w:rsid w:val="00E55662"/>
    <w:rsid w:val="00E55C51"/>
    <w:rsid w:val="00E66AB1"/>
    <w:rsid w:val="00E74E50"/>
    <w:rsid w:val="00E8187C"/>
    <w:rsid w:val="00E83DFE"/>
    <w:rsid w:val="00E92E88"/>
    <w:rsid w:val="00EA1D28"/>
    <w:rsid w:val="00EA5AFD"/>
    <w:rsid w:val="00EA5C29"/>
    <w:rsid w:val="00EB1F8C"/>
    <w:rsid w:val="00EC15A4"/>
    <w:rsid w:val="00EC3D57"/>
    <w:rsid w:val="00ED23F5"/>
    <w:rsid w:val="00EE29E7"/>
    <w:rsid w:val="00EF0BD2"/>
    <w:rsid w:val="00EF705A"/>
    <w:rsid w:val="00F00CBA"/>
    <w:rsid w:val="00F030E4"/>
    <w:rsid w:val="00F063B9"/>
    <w:rsid w:val="00F07672"/>
    <w:rsid w:val="00F1217B"/>
    <w:rsid w:val="00F147F7"/>
    <w:rsid w:val="00F355D3"/>
    <w:rsid w:val="00F370CB"/>
    <w:rsid w:val="00F5062C"/>
    <w:rsid w:val="00F51B92"/>
    <w:rsid w:val="00F5238E"/>
    <w:rsid w:val="00F53374"/>
    <w:rsid w:val="00F53E3C"/>
    <w:rsid w:val="00F54437"/>
    <w:rsid w:val="00F60A9C"/>
    <w:rsid w:val="00F64C23"/>
    <w:rsid w:val="00F70CC7"/>
    <w:rsid w:val="00F71596"/>
    <w:rsid w:val="00F82537"/>
    <w:rsid w:val="00F9615A"/>
    <w:rsid w:val="00FA1BBD"/>
    <w:rsid w:val="00FA1FD4"/>
    <w:rsid w:val="00FA609E"/>
    <w:rsid w:val="00FB2294"/>
    <w:rsid w:val="00FB7B68"/>
    <w:rsid w:val="00FC1194"/>
    <w:rsid w:val="00FC3E34"/>
    <w:rsid w:val="00FD3968"/>
    <w:rsid w:val="00FD39B8"/>
    <w:rsid w:val="00FE417E"/>
    <w:rsid w:val="00FE4ADC"/>
    <w:rsid w:val="00FE632F"/>
    <w:rsid w:val="00FF3712"/>
    <w:rsid w:val="00FF7D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480A69"/>
  <w15:docId w15:val="{22300239-31C0-4F10-A035-587608C0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6AB1"/>
    <w:rPr>
      <w:rFonts w:ascii="Tahoma" w:hAnsi="Tahoma" w:cs="Tahoma"/>
      <w:sz w:val="16"/>
      <w:szCs w:val="16"/>
    </w:rPr>
  </w:style>
  <w:style w:type="paragraph" w:styleId="Header">
    <w:name w:val="header"/>
    <w:basedOn w:val="Normal"/>
    <w:rsid w:val="008806FE"/>
    <w:pPr>
      <w:tabs>
        <w:tab w:val="center" w:pos="4153"/>
        <w:tab w:val="right" w:pos="8306"/>
      </w:tabs>
    </w:pPr>
  </w:style>
  <w:style w:type="character" w:styleId="PageNumber">
    <w:name w:val="page number"/>
    <w:basedOn w:val="DefaultParagraphFont"/>
    <w:rsid w:val="008806FE"/>
  </w:style>
  <w:style w:type="paragraph" w:styleId="Footer">
    <w:name w:val="footer"/>
    <w:basedOn w:val="Normal"/>
    <w:link w:val="FooterChar"/>
    <w:rsid w:val="00674C6A"/>
    <w:pPr>
      <w:tabs>
        <w:tab w:val="center" w:pos="4536"/>
        <w:tab w:val="right" w:pos="9072"/>
      </w:tabs>
    </w:pPr>
  </w:style>
  <w:style w:type="character" w:customStyle="1" w:styleId="FooterChar">
    <w:name w:val="Footer Char"/>
    <w:basedOn w:val="DefaultParagraphFont"/>
    <w:link w:val="Footer"/>
    <w:rsid w:val="00674C6A"/>
    <w:rPr>
      <w:sz w:val="24"/>
      <w:szCs w:val="24"/>
    </w:rPr>
  </w:style>
  <w:style w:type="character" w:styleId="Hyperlink">
    <w:name w:val="Hyperlink"/>
    <w:basedOn w:val="DefaultParagraphFont"/>
    <w:uiPriority w:val="99"/>
    <w:rsid w:val="00443B39"/>
    <w:rPr>
      <w:color w:val="0000FF"/>
      <w:u w:val="single"/>
    </w:rPr>
  </w:style>
  <w:style w:type="paragraph" w:styleId="FootnoteText">
    <w:name w:val="footnote text"/>
    <w:basedOn w:val="Normal"/>
    <w:link w:val="FootnoteTextChar"/>
    <w:semiHidden/>
    <w:unhideWhenUsed/>
    <w:rsid w:val="004F34AD"/>
    <w:rPr>
      <w:rFonts w:ascii="Cambria" w:eastAsia="MS Mincho" w:hAnsi="Cambria"/>
      <w:sz w:val="20"/>
      <w:szCs w:val="20"/>
      <w:lang w:val="en-US" w:eastAsia="en-US"/>
    </w:rPr>
  </w:style>
  <w:style w:type="character" w:customStyle="1" w:styleId="FootnoteTextChar">
    <w:name w:val="Footnote Text Char"/>
    <w:basedOn w:val="DefaultParagraphFont"/>
    <w:link w:val="FootnoteText"/>
    <w:semiHidden/>
    <w:rsid w:val="004F34AD"/>
    <w:rPr>
      <w:rFonts w:ascii="Cambria" w:eastAsia="MS Mincho" w:hAnsi="Cambria"/>
      <w:lang w:val="en-US" w:eastAsia="en-US"/>
    </w:rPr>
  </w:style>
  <w:style w:type="character" w:styleId="FootnoteReference">
    <w:name w:val="footnote reference"/>
    <w:semiHidden/>
    <w:unhideWhenUsed/>
    <w:rsid w:val="004F34AD"/>
    <w:rPr>
      <w:vertAlign w:val="superscript"/>
    </w:rPr>
  </w:style>
  <w:style w:type="character" w:styleId="FollowedHyperlink">
    <w:name w:val="FollowedHyperlink"/>
    <w:basedOn w:val="DefaultParagraphFont"/>
    <w:semiHidden/>
    <w:unhideWhenUsed/>
    <w:rsid w:val="009E1B86"/>
    <w:rPr>
      <w:color w:val="800080" w:themeColor="followedHyperlink"/>
      <w:u w:val="single"/>
    </w:rPr>
  </w:style>
  <w:style w:type="paragraph" w:styleId="Caption">
    <w:name w:val="caption"/>
    <w:basedOn w:val="Normal"/>
    <w:next w:val="Normal"/>
    <w:unhideWhenUsed/>
    <w:qFormat/>
    <w:rsid w:val="00B2502D"/>
    <w:pPr>
      <w:spacing w:after="200"/>
      <w:jc w:val="both"/>
    </w:pPr>
    <w:rPr>
      <w:i/>
      <w:iCs/>
      <w:color w:val="1F497D" w:themeColor="text2"/>
      <w:sz w:val="18"/>
      <w:szCs w:val="18"/>
    </w:rPr>
  </w:style>
  <w:style w:type="character" w:styleId="CommentReference">
    <w:name w:val="annotation reference"/>
    <w:basedOn w:val="DefaultParagraphFont"/>
    <w:semiHidden/>
    <w:unhideWhenUsed/>
    <w:rsid w:val="00291462"/>
    <w:rPr>
      <w:sz w:val="16"/>
      <w:szCs w:val="16"/>
    </w:rPr>
  </w:style>
  <w:style w:type="paragraph" w:styleId="CommentText">
    <w:name w:val="annotation text"/>
    <w:basedOn w:val="Normal"/>
    <w:link w:val="CommentTextChar"/>
    <w:semiHidden/>
    <w:unhideWhenUsed/>
    <w:rsid w:val="00291462"/>
    <w:rPr>
      <w:sz w:val="20"/>
      <w:szCs w:val="20"/>
    </w:rPr>
  </w:style>
  <w:style w:type="character" w:customStyle="1" w:styleId="CommentTextChar">
    <w:name w:val="Comment Text Char"/>
    <w:basedOn w:val="DefaultParagraphFont"/>
    <w:link w:val="CommentText"/>
    <w:semiHidden/>
    <w:rsid w:val="00291462"/>
  </w:style>
  <w:style w:type="paragraph" w:styleId="CommentSubject">
    <w:name w:val="annotation subject"/>
    <w:basedOn w:val="CommentText"/>
    <w:next w:val="CommentText"/>
    <w:link w:val="CommentSubjectChar"/>
    <w:semiHidden/>
    <w:unhideWhenUsed/>
    <w:rsid w:val="00291462"/>
    <w:rPr>
      <w:b/>
      <w:bCs/>
    </w:rPr>
  </w:style>
  <w:style w:type="character" w:customStyle="1" w:styleId="CommentSubjectChar">
    <w:name w:val="Comment Subject Char"/>
    <w:basedOn w:val="CommentTextChar"/>
    <w:link w:val="CommentSubject"/>
    <w:semiHidden/>
    <w:rsid w:val="00291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7201">
      <w:bodyDiv w:val="1"/>
      <w:marLeft w:val="0"/>
      <w:marRight w:val="0"/>
      <w:marTop w:val="0"/>
      <w:marBottom w:val="0"/>
      <w:divBdr>
        <w:top w:val="none" w:sz="0" w:space="0" w:color="auto"/>
        <w:left w:val="none" w:sz="0" w:space="0" w:color="auto"/>
        <w:bottom w:val="none" w:sz="0" w:space="0" w:color="auto"/>
        <w:right w:val="none" w:sz="0" w:space="0" w:color="auto"/>
      </w:divBdr>
    </w:div>
    <w:div w:id="15861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coin.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iigikohus.e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itcoin.e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fi.ee/public/EBA_virtuaalne_vaaring.pdf" TargetMode="External"/><Relationship Id="rId3" Type="http://schemas.openxmlformats.org/officeDocument/2006/relationships/hyperlink" Target="http://www.fatf-gafi.org/media/fatf/documents/reports/Virtual-currency-key-definitions-and-potential-aml-cft-risks.pdf" TargetMode="External"/><Relationship Id="rId7" Type="http://schemas.openxmlformats.org/officeDocument/2006/relationships/hyperlink" Target="http://www.fatf-gafi.org/publications/fatfrecommendations/documents/fatf-recommendations.html" TargetMode="External"/><Relationship Id="rId2" Type="http://schemas.openxmlformats.org/officeDocument/2006/relationships/hyperlink" Target="http://www.fatf-gafi.org/" TargetMode="External"/><Relationship Id="rId1" Type="http://schemas.openxmlformats.org/officeDocument/2006/relationships/hyperlink" Target="http://www.riigikogu.ee/?op=emsplain&amp;page=pub_file&amp;file_id=3deaea53-afec-eb79-6338-b2fdbd288e24&amp;" TargetMode="External"/><Relationship Id="rId6" Type="http://schemas.openxmlformats.org/officeDocument/2006/relationships/hyperlink" Target="https://www.coe.int/t/dghl/monitoring/moneyval/Publications/Guidance-RBA-Virtual-Currencies.pdf" TargetMode="External"/><Relationship Id="rId5" Type="http://schemas.openxmlformats.org/officeDocument/2006/relationships/hyperlink" Target="https://www.eba.europa.eu/documents/10180/657547/EBA-Op-2014-08+Opinion+on+Virtual+Currencies.pdf" TargetMode="External"/><Relationship Id="rId4" Type="http://schemas.openxmlformats.org/officeDocument/2006/relationships/hyperlink" Target="https://www.ecb.europa.eu/pub/pdf/other/virtualcurrencyschemesen.pdf" TargetMode="External"/><Relationship Id="rId9" Type="http://schemas.openxmlformats.org/officeDocument/2006/relationships/hyperlink" Target="https://www.politsei.ee/dotAsset/330091.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tt\Documents\Custom%20Office%20Templates\FI%20mallid\Ametiki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A2D7-1032-4BBE-8058-50DED4C5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Ametikiri</Template>
  <TotalTime>1</TotalTime>
  <Pages>9</Pages>
  <Words>3485</Words>
  <Characters>20216</Characters>
  <Application>Microsoft Office Word</Application>
  <DocSecurity>0</DocSecurity>
  <Lines>168</Lines>
  <Paragraphs>47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Ametikiri - Vastuskiri</vt:lpstr>
      <vt:lpstr>Ametikiri - Vastuskiri</vt:lpstr>
    </vt:vector>
  </TitlesOfParts>
  <Company>Finantsinspektsioon</Company>
  <LinksUpToDate>false</LinksUpToDate>
  <CharactersWithSpaces>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Kilvar Kessler</dc:creator>
  <cp:lastModifiedBy>Siim Tammer</cp:lastModifiedBy>
  <cp:revision>2</cp:revision>
  <cp:lastPrinted>2016-01-11T11:36:00Z</cp:lastPrinted>
  <dcterms:created xsi:type="dcterms:W3CDTF">2016-01-12T14:02:00Z</dcterms:created>
  <dcterms:modified xsi:type="dcterms:W3CDTF">2016-01-12T14:02:00Z</dcterms:modified>
</cp:coreProperties>
</file>